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ind w:right="0" w:rightChars="0" w:firstLine="2730" w:firstLineChars="1300"/>
        <w:jc w:val="both"/>
        <w:textAlignment w:val="auto"/>
        <w:rPr>
          <w:rFonts w:hint="eastAsia"/>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-1124585</wp:posOffset>
                </wp:positionH>
                <wp:positionV relativeFrom="paragraph">
                  <wp:posOffset>-897255</wp:posOffset>
                </wp:positionV>
                <wp:extent cx="2514600" cy="10664825"/>
                <wp:effectExtent l="4445" t="4445" r="14605" b="17780"/>
                <wp:wrapNone/>
                <wp:docPr id="86" name="矩形 2"/>
                <wp:cNvGraphicFramePr/>
                <a:graphic xmlns:a="http://schemas.openxmlformats.org/drawingml/2006/main">
                  <a:graphicData uri="http://schemas.microsoft.com/office/word/2010/wordprocessingShape">
                    <wps:wsp>
                      <wps:cNvSpPr/>
                      <wps:spPr>
                        <a:xfrm>
                          <a:off x="0" y="0"/>
                          <a:ext cx="2514600" cy="1066482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23"/>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21</w:t>
                            </w:r>
                            <w:r>
                              <w:rPr>
                                <w:rFonts w:hint="eastAsia" w:ascii="黑体" w:hAnsi="黑体" w:eastAsia="黑体"/>
                                <w:w w:val="86"/>
                                <w:sz w:val="48"/>
                              </w:rPr>
                              <w:t>年</w:t>
                            </w:r>
                          </w:p>
                          <w:p>
                            <w:pPr>
                              <w:pStyle w:val="23"/>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2</w:t>
                            </w:r>
                            <w:r>
                              <w:rPr>
                                <w:rFonts w:hint="eastAsia" w:ascii="黑体" w:hAnsi="黑体" w:eastAsia="黑体"/>
                                <w:w w:val="86"/>
                                <w:sz w:val="76"/>
                              </w:rPr>
                              <w:t>期</w:t>
                            </w:r>
                          </w:p>
                          <w:p>
                            <w:pPr>
                              <w:pStyle w:val="23"/>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96</w:t>
                            </w:r>
                            <w:r>
                              <w:rPr>
                                <w:rFonts w:hint="eastAsia" w:ascii="黑体" w:hAnsi="黑体" w:eastAsia="黑体"/>
                                <w:w w:val="86"/>
                                <w:sz w:val="36"/>
                              </w:rPr>
                              <w:t>期）</w:t>
                            </w:r>
                          </w:p>
                          <w:p>
                            <w:pPr>
                              <w:pStyle w:val="23"/>
                              <w:spacing w:beforeLines="0" w:afterLines="0"/>
                              <w:jc w:val="both"/>
                              <w:rPr>
                                <w:rFonts w:hint="eastAsia" w:ascii="黑体" w:hAnsi="黑体" w:eastAsia="黑体"/>
                                <w:w w:val="86"/>
                                <w:sz w:val="21"/>
                              </w:rPr>
                            </w:pP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2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2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w:t>
                            </w:r>
                            <w:r>
                              <w:rPr>
                                <w:rFonts w:hint="eastAsia" w:ascii="黑体" w:hAnsi="黑体" w:eastAsia="黑体"/>
                                <w:w w:val="86"/>
                                <w:sz w:val="21"/>
                                <w:szCs w:val="22"/>
                              </w:rPr>
                              <w:t>白宝山</w:t>
                            </w:r>
                          </w:p>
                          <w:p>
                            <w:pPr>
                              <w:pStyle w:val="2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2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裴学文、林树增、</w:t>
                            </w:r>
                          </w:p>
                          <w:p>
                            <w:pPr>
                              <w:pStyle w:val="23"/>
                              <w:spacing w:beforeLines="0" w:afterLines="0"/>
                              <w:ind w:firstLine="361"/>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 xml:space="preserve">        王  峰、</w:t>
                            </w:r>
                            <w:r>
                              <w:rPr>
                                <w:rFonts w:hint="eastAsia" w:ascii="黑体" w:hAnsi="黑体" w:eastAsia="黑体"/>
                                <w:w w:val="86"/>
                                <w:sz w:val="21"/>
                                <w:szCs w:val="22"/>
                                <w:lang w:eastAsia="zh-CN"/>
                              </w:rPr>
                              <w:t>李晓玲</w:t>
                            </w:r>
                          </w:p>
                          <w:p>
                            <w:pPr>
                              <w:pStyle w:val="2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赵秋霞</w:t>
                            </w:r>
                            <w:r>
                              <w:rPr>
                                <w:rFonts w:hint="eastAsia" w:ascii="黑体" w:hAnsi="黑体" w:eastAsia="黑体"/>
                                <w:w w:val="86"/>
                                <w:sz w:val="21"/>
                                <w:szCs w:val="22"/>
                              </w:rPr>
                              <w:t>、</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王常伟</w:t>
                            </w:r>
                            <w:r>
                              <w:rPr>
                                <w:rFonts w:hint="eastAsia" w:ascii="黑体" w:hAnsi="黑体" w:eastAsia="黑体"/>
                                <w:w w:val="86"/>
                                <w:sz w:val="21"/>
                                <w:szCs w:val="22"/>
                              </w:rPr>
                              <w:t>、</w:t>
                            </w:r>
                            <w:r>
                              <w:rPr>
                                <w:rFonts w:hint="eastAsia" w:ascii="黑体" w:hAnsi="黑体" w:eastAsia="黑体"/>
                                <w:w w:val="86"/>
                                <w:sz w:val="21"/>
                                <w:szCs w:val="22"/>
                                <w:lang w:val="en-US" w:eastAsia="zh-CN"/>
                              </w:rPr>
                              <w:t>李文素</w:t>
                            </w:r>
                            <w:r>
                              <w:rPr>
                                <w:rFonts w:hint="eastAsia" w:ascii="黑体" w:hAnsi="黑体" w:eastAsia="黑体"/>
                                <w:w w:val="86"/>
                                <w:sz w:val="21"/>
                                <w:szCs w:val="22"/>
                              </w:rPr>
                              <w:t>、</w:t>
                            </w:r>
                          </w:p>
                          <w:p>
                            <w:pPr>
                              <w:pStyle w:val="23"/>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lang w:val="en-US" w:eastAsia="zh-CN"/>
                              </w:rPr>
                              <w:t>、</w:t>
                            </w:r>
                            <w:r>
                              <w:rPr>
                                <w:rFonts w:hint="eastAsia" w:ascii="黑体" w:hAnsi="黑体" w:eastAsia="黑体"/>
                                <w:w w:val="86"/>
                                <w:sz w:val="21"/>
                                <w:szCs w:val="22"/>
                              </w:rPr>
                              <w:t>金致成</w:t>
                            </w:r>
                            <w:r>
                              <w:rPr>
                                <w:rFonts w:hint="eastAsia" w:ascii="黑体" w:hAnsi="黑体" w:eastAsia="黑体"/>
                                <w:w w:val="86"/>
                                <w:sz w:val="21"/>
                                <w:szCs w:val="22"/>
                                <w:lang w:val="en-US" w:eastAsia="zh-CN"/>
                              </w:rPr>
                              <w:t>、</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23"/>
                              <w:spacing w:beforeLines="0" w:afterLines="0"/>
                              <w:ind w:left="1080" w:hanging="1080" w:hangingChars="600"/>
                              <w:jc w:val="left"/>
                              <w:rPr>
                                <w:rFonts w:hint="eastAsia" w:ascii="黑体" w:hAnsi="黑体" w:eastAsia="黑体"/>
                                <w:w w:val="86"/>
                                <w:sz w:val="21"/>
                                <w:szCs w:val="22"/>
                                <w:lang w:val="en-US" w:eastAsia="zh-CN"/>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val="en-US" w:eastAsia="zh-CN"/>
                              </w:rPr>
                              <w:t>汇商广场</w:t>
                            </w:r>
                          </w:p>
                          <w:p>
                            <w:pPr>
                              <w:pStyle w:val="23"/>
                              <w:spacing w:beforeLines="0" w:afterLines="0"/>
                              <w:ind w:left="1077" w:leftChars="513" w:firstLine="0" w:firstLineChars="0"/>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B1座7051</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23"/>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88.55pt;margin-top:-70.65pt;height:839.75pt;width:198pt;z-index:251659264;mso-width-relative:page;mso-height-relative:page;" fillcolor="#BFBFBF" filled="t" stroked="t" coordsize="21600,21600" o:gfxdata="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PggZQ3gAAAA4BAAAPAAAAAAAAAAEAIAAA&#10;ACIAAABkcnMvZG93bnJldi54bWxQSwECFAAUAAAACACHTuJAjoWWmwYCAAA6BAAADgAAAAAAAAAB&#10;ACAAAAAtAQAAZHJzL2Uyb0RvYy54bWxQSwUGAAAAAAYABgBZAQAApQU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23"/>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21</w:t>
                      </w:r>
                      <w:r>
                        <w:rPr>
                          <w:rFonts w:hint="eastAsia" w:ascii="黑体" w:hAnsi="黑体" w:eastAsia="黑体"/>
                          <w:w w:val="86"/>
                          <w:sz w:val="48"/>
                        </w:rPr>
                        <w:t>年</w:t>
                      </w:r>
                    </w:p>
                    <w:p>
                      <w:pPr>
                        <w:pStyle w:val="23"/>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2</w:t>
                      </w:r>
                      <w:r>
                        <w:rPr>
                          <w:rFonts w:hint="eastAsia" w:ascii="黑体" w:hAnsi="黑体" w:eastAsia="黑体"/>
                          <w:w w:val="86"/>
                          <w:sz w:val="76"/>
                        </w:rPr>
                        <w:t>期</w:t>
                      </w:r>
                    </w:p>
                    <w:p>
                      <w:pPr>
                        <w:pStyle w:val="23"/>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96</w:t>
                      </w:r>
                      <w:r>
                        <w:rPr>
                          <w:rFonts w:hint="eastAsia" w:ascii="黑体" w:hAnsi="黑体" w:eastAsia="黑体"/>
                          <w:w w:val="86"/>
                          <w:sz w:val="36"/>
                        </w:rPr>
                        <w:t>期）</w:t>
                      </w:r>
                    </w:p>
                    <w:p>
                      <w:pPr>
                        <w:pStyle w:val="23"/>
                        <w:spacing w:beforeLines="0" w:afterLines="0"/>
                        <w:jc w:val="both"/>
                        <w:rPr>
                          <w:rFonts w:hint="eastAsia" w:ascii="黑体" w:hAnsi="黑体" w:eastAsia="黑体"/>
                          <w:w w:val="86"/>
                          <w:sz w:val="21"/>
                        </w:rPr>
                      </w:pP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2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2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w:t>
                      </w:r>
                      <w:r>
                        <w:rPr>
                          <w:rFonts w:hint="eastAsia" w:ascii="黑体" w:hAnsi="黑体" w:eastAsia="黑体"/>
                          <w:w w:val="86"/>
                          <w:sz w:val="21"/>
                          <w:szCs w:val="22"/>
                        </w:rPr>
                        <w:t>白宝山</w:t>
                      </w:r>
                    </w:p>
                    <w:p>
                      <w:pPr>
                        <w:pStyle w:val="23"/>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2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裴学文、林树增、</w:t>
                      </w:r>
                    </w:p>
                    <w:p>
                      <w:pPr>
                        <w:pStyle w:val="23"/>
                        <w:spacing w:beforeLines="0" w:afterLines="0"/>
                        <w:ind w:firstLine="361"/>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 xml:space="preserve">        王  峰、</w:t>
                      </w:r>
                      <w:r>
                        <w:rPr>
                          <w:rFonts w:hint="eastAsia" w:ascii="黑体" w:hAnsi="黑体" w:eastAsia="黑体"/>
                          <w:w w:val="86"/>
                          <w:sz w:val="21"/>
                          <w:szCs w:val="22"/>
                          <w:lang w:eastAsia="zh-CN"/>
                        </w:rPr>
                        <w:t>李晓玲</w:t>
                      </w:r>
                    </w:p>
                    <w:p>
                      <w:pPr>
                        <w:pStyle w:val="23"/>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赵秋霞</w:t>
                      </w:r>
                      <w:r>
                        <w:rPr>
                          <w:rFonts w:hint="eastAsia" w:ascii="黑体" w:hAnsi="黑体" w:eastAsia="黑体"/>
                          <w:w w:val="86"/>
                          <w:sz w:val="21"/>
                          <w:szCs w:val="22"/>
                        </w:rPr>
                        <w:t>、</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王常伟</w:t>
                      </w:r>
                      <w:r>
                        <w:rPr>
                          <w:rFonts w:hint="eastAsia" w:ascii="黑体" w:hAnsi="黑体" w:eastAsia="黑体"/>
                          <w:w w:val="86"/>
                          <w:sz w:val="21"/>
                          <w:szCs w:val="22"/>
                        </w:rPr>
                        <w:t>、</w:t>
                      </w:r>
                      <w:r>
                        <w:rPr>
                          <w:rFonts w:hint="eastAsia" w:ascii="黑体" w:hAnsi="黑体" w:eastAsia="黑体"/>
                          <w:w w:val="86"/>
                          <w:sz w:val="21"/>
                          <w:szCs w:val="22"/>
                          <w:lang w:val="en-US" w:eastAsia="zh-CN"/>
                        </w:rPr>
                        <w:t>李文素</w:t>
                      </w:r>
                      <w:r>
                        <w:rPr>
                          <w:rFonts w:hint="eastAsia" w:ascii="黑体" w:hAnsi="黑体" w:eastAsia="黑体"/>
                          <w:w w:val="86"/>
                          <w:sz w:val="21"/>
                          <w:szCs w:val="22"/>
                        </w:rPr>
                        <w:t>、</w:t>
                      </w:r>
                    </w:p>
                    <w:p>
                      <w:pPr>
                        <w:pStyle w:val="23"/>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lang w:val="en-US" w:eastAsia="zh-CN"/>
                        </w:rPr>
                        <w:t>、</w:t>
                      </w:r>
                      <w:r>
                        <w:rPr>
                          <w:rFonts w:hint="eastAsia" w:ascii="黑体" w:hAnsi="黑体" w:eastAsia="黑体"/>
                          <w:w w:val="86"/>
                          <w:sz w:val="21"/>
                          <w:szCs w:val="22"/>
                        </w:rPr>
                        <w:t>金致成</w:t>
                      </w:r>
                      <w:r>
                        <w:rPr>
                          <w:rFonts w:hint="eastAsia" w:ascii="黑体" w:hAnsi="黑体" w:eastAsia="黑体"/>
                          <w:w w:val="86"/>
                          <w:sz w:val="21"/>
                          <w:szCs w:val="22"/>
                          <w:lang w:val="en-US" w:eastAsia="zh-CN"/>
                        </w:rPr>
                        <w:t>、</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23"/>
                        <w:spacing w:beforeLines="0" w:afterLines="0"/>
                        <w:ind w:left="1080" w:hanging="1080" w:hangingChars="600"/>
                        <w:jc w:val="left"/>
                        <w:rPr>
                          <w:rFonts w:hint="eastAsia" w:ascii="黑体" w:hAnsi="黑体" w:eastAsia="黑体"/>
                          <w:w w:val="86"/>
                          <w:sz w:val="21"/>
                          <w:szCs w:val="22"/>
                          <w:lang w:val="en-US" w:eastAsia="zh-CN"/>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val="en-US" w:eastAsia="zh-CN"/>
                        </w:rPr>
                        <w:t>汇商广场</w:t>
                      </w:r>
                    </w:p>
                    <w:p>
                      <w:pPr>
                        <w:pStyle w:val="23"/>
                        <w:spacing w:beforeLines="0" w:afterLines="0"/>
                        <w:ind w:left="1077" w:leftChars="513" w:firstLine="0" w:firstLineChars="0"/>
                        <w:jc w:val="left"/>
                        <w:rPr>
                          <w:rFonts w:hint="default" w:ascii="黑体" w:hAnsi="黑体" w:eastAsia="黑体"/>
                          <w:w w:val="86"/>
                          <w:sz w:val="21"/>
                          <w:szCs w:val="22"/>
                          <w:lang w:val="en-US"/>
                        </w:rPr>
                      </w:pPr>
                      <w:r>
                        <w:rPr>
                          <w:rFonts w:hint="eastAsia" w:ascii="黑体" w:hAnsi="黑体" w:eastAsia="黑体"/>
                          <w:w w:val="86"/>
                          <w:sz w:val="21"/>
                          <w:szCs w:val="22"/>
                          <w:lang w:val="en-US" w:eastAsia="zh-CN"/>
                        </w:rPr>
                        <w:t>B1座7051</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23"/>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23"/>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949" w:firstLineChars="918"/>
        <w:jc w:val="both"/>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通知公告</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lang w:val="en-US" w:eastAsia="zh-CN"/>
        </w:rPr>
      </w:pPr>
      <w:r>
        <w:rPr>
          <w:rFonts w:hint="eastAsia"/>
          <w:lang w:val="en-US" w:eastAsia="zh-CN"/>
        </w:rPr>
        <w:t>关于2021年（第33期）全国拍卖师资格考试报名</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default"/>
          <w:lang w:val="en-US" w:eastAsia="zh-CN"/>
        </w:rPr>
      </w:pPr>
      <w:r>
        <w:rPr>
          <w:rFonts w:hint="eastAsia"/>
          <w:lang w:val="en-US" w:eastAsia="zh-CN"/>
        </w:rPr>
        <w:t>的通知 ……………………………………………… 1</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both"/>
        <w:textAlignment w:val="auto"/>
        <w:outlineLvl w:val="9"/>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default"/>
          <w:lang w:val="en-US" w:eastAsia="zh-CN"/>
        </w:rPr>
      </w:pPr>
      <w:r>
        <w:rPr>
          <w:rFonts w:hint="eastAsia"/>
          <w:lang w:val="en-US" w:eastAsia="zh-CN"/>
        </w:rPr>
        <w:t>关于规范报废拆解船舶拍卖交易的指导意见 …… 5</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sz w:val="32"/>
          <w:szCs w:val="32"/>
          <w:lang w:val="en-US" w:eastAsia="zh-CN"/>
        </w:rPr>
      </w:pP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行业</w:t>
      </w:r>
      <w:r>
        <w:rPr>
          <w:rFonts w:hint="eastAsia" w:ascii="黑体" w:hAnsi="黑体" w:eastAsia="黑体" w:cs="黑体"/>
          <w:b/>
          <w:bCs/>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570" w:firstLineChars="170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中国拍卖行业协会六届一次常务理事会线上召开</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                                         …………………………………………… 6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lang w:val="en-US" w:eastAsia="zh-CN"/>
        </w:rPr>
      </w:pPr>
      <w:r>
        <w:rPr>
          <w:rFonts w:hint="eastAsia"/>
          <w:lang w:val="en-US" w:eastAsia="zh-CN"/>
        </w:rPr>
        <w:t>中国拍卖行业协会与中国人民大学应用经济学院签署</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default"/>
          <w:lang w:val="en-US" w:eastAsia="zh-CN"/>
        </w:rPr>
      </w:pPr>
      <w:r>
        <w:rPr>
          <w:rFonts w:hint="eastAsia"/>
          <w:lang w:val="en-US" w:eastAsia="zh-CN"/>
        </w:rPr>
        <w:t xml:space="preserve">合作协议 </w:t>
      </w:r>
      <w:r>
        <w:rPr>
          <w:rFonts w:hint="eastAsia" w:ascii="Helvetica" w:hAnsi="Helvetica" w:eastAsia="宋体" w:cs="Helvetica"/>
          <w:b w:val="0"/>
          <w:bCs/>
          <w:color w:val="auto"/>
          <w:sz w:val="21"/>
          <w:szCs w:val="21"/>
          <w:lang w:val="en-US" w:eastAsia="zh-CN"/>
        </w:rPr>
        <w:t>……</w:t>
      </w:r>
      <w:r>
        <w:rPr>
          <w:rFonts w:hint="eastAsia"/>
          <w:lang w:val="en-US" w:eastAsia="zh-CN"/>
        </w:rPr>
        <w:t>……………………………………… 9</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default"/>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right="0" w:rightChars="0"/>
        <w:jc w:val="left"/>
        <w:textAlignment w:val="auto"/>
        <w:rPr>
          <w:rFonts w:hint="eastAsia"/>
          <w:lang w:val="en-US" w:eastAsia="zh-CN"/>
        </w:rPr>
      </w:pPr>
      <w:r>
        <w:rPr>
          <w:rFonts w:hint="eastAsia"/>
          <w:lang w:val="en-US" w:eastAsia="zh-CN"/>
        </w:rPr>
        <w:t xml:space="preserve">                                “2021中国文博产业发展峰会”召开聚焦海南文化 </w:t>
      </w: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default"/>
          <w:lang w:val="en-US" w:eastAsia="zh-CN"/>
        </w:rPr>
      </w:pPr>
      <w:r>
        <w:rPr>
          <w:rFonts w:hint="eastAsia"/>
          <w:lang w:val="en-US" w:eastAsia="zh-CN"/>
        </w:rPr>
        <w:t xml:space="preserve">    艺术品拍卖中心建设 …………………………10</w:t>
      </w:r>
    </w:p>
    <w:p>
      <w:pPr>
        <w:keepNext w:val="0"/>
        <w:keepLines w:val="0"/>
        <w:pageBreakBefore w:val="0"/>
        <w:kinsoku/>
        <w:wordWrap/>
        <w:overflowPunct/>
        <w:topLinePunct w:val="0"/>
        <w:autoSpaceDE/>
        <w:autoSpaceDN/>
        <w:bidi w:val="0"/>
        <w:adjustRightInd/>
        <w:snapToGrid/>
        <w:spacing w:line="300" w:lineRule="exact"/>
        <w:ind w:right="0" w:rightChars="0"/>
        <w:jc w:val="center"/>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300" w:lineRule="exact"/>
        <w:ind w:right="0" w:rightChars="0"/>
        <w:jc w:val="center"/>
        <w:textAlignment w:val="auto"/>
        <w:rPr>
          <w:rFonts w:hint="eastAsia" w:ascii="Helvetica" w:hAnsi="Helvetica" w:eastAsia="宋体" w:cs="Helvetica"/>
          <w:b w:val="0"/>
          <w:bCs/>
          <w:color w:val="auto"/>
          <w:sz w:val="21"/>
          <w:szCs w:val="21"/>
          <w:lang w:val="en-US" w:eastAsia="zh-CN"/>
        </w:rPr>
      </w:pPr>
      <w:r>
        <w:rPr>
          <w:rFonts w:hint="eastAsia"/>
          <w:lang w:val="en-US" w:eastAsia="zh-CN"/>
        </w:rPr>
        <w:t xml:space="preserve">                                                     </w:t>
      </w:r>
      <w:r>
        <w:rPr>
          <w:rFonts w:hint="eastAsia" w:ascii="Helvetica" w:hAnsi="Helvetica" w:eastAsia="宋体" w:cs="Helvetica"/>
          <w:b w:val="0"/>
          <w:bCs/>
          <w:color w:val="auto"/>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2891" w:firstLineChars="900"/>
        <w:jc w:val="both"/>
        <w:textAlignment w:val="auto"/>
        <w:outlineLvl w:val="9"/>
        <w:rPr>
          <w:rFonts w:hint="eastAsia"/>
          <w:lang w:val="en-US" w:eastAsia="zh-CN"/>
        </w:rPr>
      </w:pPr>
      <w:r>
        <w:rPr>
          <w:rFonts w:hint="eastAsia" w:ascii="黑体" w:hAnsi="黑体" w:eastAsia="黑体" w:cs="黑体"/>
          <w:b/>
          <w:bCs/>
          <w:sz w:val="32"/>
          <w:szCs w:val="32"/>
          <w:lang w:val="en-US" w:eastAsia="zh-CN"/>
        </w:rPr>
        <w:t>数据发布</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360" w:firstLineChars="1600"/>
        <w:jc w:val="both"/>
        <w:textAlignment w:val="auto"/>
        <w:outlineLvl w:val="9"/>
        <w:rPr>
          <w:rFonts w:hint="eastAsia"/>
          <w:lang w:val="en-US" w:eastAsia="zh-CN"/>
        </w:rPr>
      </w:pPr>
      <w:r>
        <w:rPr>
          <w:rFonts w:hint="eastAsia"/>
          <w:lang w:val="en-US" w:eastAsia="zh-CN"/>
        </w:rPr>
        <w:t>2021年一季度全国拍卖行业经营情况简报</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990" w:firstLineChars="1900"/>
        <w:jc w:val="both"/>
        <w:textAlignment w:val="auto"/>
        <w:outlineLvl w:val="9"/>
        <w:rPr>
          <w:rFonts w:hint="eastAsia"/>
          <w:lang w:val="en-US" w:eastAsia="zh-CN"/>
        </w:rPr>
      </w:pPr>
      <w:r>
        <w:rPr>
          <w:rFonts w:hint="eastAsia"/>
          <w:lang w:val="en-US" w:eastAsia="zh-CN"/>
        </w:rPr>
        <w:t>……………………………………………… 13</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990" w:firstLineChars="1900"/>
        <w:jc w:val="both"/>
        <w:textAlignment w:val="auto"/>
        <w:outlineLvl w:val="9"/>
        <w:rPr>
          <w:rFonts w:hint="default"/>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2021年4月拍卖行业经营情况简报</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990" w:firstLineChars="1900"/>
        <w:jc w:val="both"/>
        <w:textAlignment w:val="auto"/>
        <w:outlineLvl w:val="9"/>
        <w:rPr>
          <w:rFonts w:hint="default"/>
          <w:lang w:val="en-US" w:eastAsia="zh-CN"/>
        </w:rPr>
      </w:pPr>
      <w:r>
        <w:rPr>
          <w:rFonts w:hint="eastAsia"/>
          <w:lang w:val="en-US" w:eastAsia="zh-CN"/>
        </w:rPr>
        <w:t>……………………………………………… 20</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firstLine="2949" w:firstLineChars="918"/>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协会动态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600" w:right="0" w:rightChars="0" w:hanging="210" w:hangingChars="100"/>
        <w:jc w:val="left"/>
        <w:textAlignment w:val="auto"/>
        <w:rPr>
          <w:rFonts w:hint="eastAsia"/>
          <w:lang w:val="en-US" w:eastAsia="zh-CN"/>
        </w:rPr>
      </w:pPr>
      <w:r>
        <w:rPr>
          <w:rFonts w:hint="eastAsia"/>
          <w:lang w:val="en-US" w:eastAsia="zh-CN"/>
        </w:rPr>
        <w:t>全区企业培训需求调查问卷</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990" w:firstLineChars="1900"/>
        <w:jc w:val="left"/>
        <w:textAlignment w:val="auto"/>
        <w:rPr>
          <w:rFonts w:hint="eastAsia" w:ascii="Helvetica" w:hAnsi="Helvetica" w:eastAsia="宋体" w:cs="Helvetica"/>
          <w:b w:val="0"/>
          <w:bCs/>
          <w:color w:val="auto"/>
          <w:sz w:val="21"/>
          <w:szCs w:val="21"/>
          <w:lang w:val="en-US" w:eastAsia="zh-CN"/>
        </w:rPr>
      </w:pPr>
      <w:r>
        <w:rPr>
          <w:rFonts w:hint="eastAsia"/>
          <w:lang w:val="en-US" w:eastAsia="zh-CN"/>
        </w:rPr>
        <w:t xml:space="preserve">……………………………………………… 27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eastAsia"/>
          <w:lang w:val="en-US" w:eastAsia="zh-CN"/>
        </w:rPr>
      </w:pPr>
      <w:r>
        <w:rPr>
          <w:rFonts w:hint="eastAsia"/>
          <w:lang w:val="en-US" w:eastAsia="zh-CN"/>
        </w:rPr>
        <w:t>内蒙古拍卖行业协会获得“社会组织评估3A等级”</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default"/>
          <w:lang w:val="en-US" w:eastAsia="zh-CN"/>
        </w:rPr>
      </w:pPr>
      <w:r>
        <w:rPr>
          <w:rFonts w:hint="eastAsia"/>
          <w:lang w:val="en-US" w:eastAsia="zh-CN"/>
        </w:rPr>
        <w:t>荣誉称号   …………………………………</w:t>
      </w:r>
      <w:r>
        <w:rPr>
          <w:rFonts w:hint="eastAsia" w:ascii="Helvetica" w:hAnsi="Helvetica" w:eastAsia="宋体" w:cs="Helvetica"/>
          <w:b w:val="0"/>
          <w:bCs/>
          <w:color w:val="auto"/>
          <w:sz w:val="21"/>
          <w:szCs w:val="21"/>
          <w:lang w:val="en-US" w:eastAsia="zh-CN"/>
        </w:rPr>
        <w:t>………28</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lang w:val="en-US" w:eastAsia="zh-CN"/>
        </w:rPr>
      </w:pP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right="0" w:rightChars="0" w:firstLine="2949" w:firstLineChars="918"/>
        <w:jc w:val="both"/>
        <w:textAlignment w:val="auto"/>
        <w:outlineLvl w:val="9"/>
        <w:rPr>
          <w:rFonts w:hint="eastAsia" w:asciiTheme="minorHAnsi" w:hAnsiTheme="minorHAnsi" w:eastAsiaTheme="minorEastAsia" w:cstheme="minorBidi"/>
          <w:b w:val="0"/>
          <w:bCs w:val="0"/>
          <w:kern w:val="2"/>
          <w:sz w:val="21"/>
          <w:szCs w:val="24"/>
          <w:lang w:val="en-US" w:eastAsia="zh-CN" w:bidi="ar-SA"/>
        </w:rPr>
      </w:pPr>
      <w:r>
        <w:rPr>
          <w:rFonts w:hint="eastAsia" w:ascii="黑体" w:hAnsi="黑体" w:eastAsia="黑体" w:cs="黑体"/>
          <w:b/>
          <w:bCs/>
          <w:sz w:val="32"/>
          <w:szCs w:val="32"/>
          <w:lang w:val="en-US" w:eastAsia="zh-CN"/>
        </w:rPr>
        <w:t>拍卖论坛</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eastAsia"/>
          <w:lang w:val="en-US" w:eastAsia="zh-CN"/>
        </w:rPr>
      </w:pPr>
      <w:r>
        <w:rPr>
          <w:rFonts w:hint="eastAsia"/>
          <w:lang w:val="en-US" w:eastAsia="zh-CN"/>
        </w:rPr>
        <w:t>溢价率160%成交，通达拍卖助力国有资产处置</w:t>
      </w:r>
    </w:p>
    <w:p>
      <w:pPr>
        <w:keepNext w:val="0"/>
        <w:keepLines w:val="0"/>
        <w:pageBreakBefore w:val="0"/>
        <w:widowControl w:val="0"/>
        <w:kinsoku/>
        <w:wordWrap/>
        <w:overflowPunct/>
        <w:topLinePunct w:val="0"/>
        <w:autoSpaceDE/>
        <w:autoSpaceDN/>
        <w:bidi w:val="0"/>
        <w:adjustRightInd/>
        <w:snapToGrid/>
        <w:spacing w:line="240" w:lineRule="auto"/>
        <w:ind w:left="3570" w:leftChars="1600" w:right="0" w:rightChars="0" w:hanging="210" w:hangingChars="100"/>
        <w:jc w:val="left"/>
        <w:textAlignment w:val="auto"/>
        <w:outlineLvl w:val="9"/>
        <w:rPr>
          <w:rFonts w:hint="default" w:asciiTheme="minorHAnsi" w:hAnsiTheme="minorHAnsi" w:eastAsiaTheme="minorEastAsia" w:cstheme="minorBidi"/>
          <w:b w:val="0"/>
          <w:bCs w:val="0"/>
          <w:kern w:val="2"/>
          <w:sz w:val="21"/>
          <w:szCs w:val="24"/>
          <w:lang w:val="en-US" w:eastAsia="zh-CN" w:bidi="ar-SA"/>
        </w:rPr>
      </w:pPr>
      <w:r>
        <w:rPr>
          <w:rFonts w:hint="eastAsia"/>
          <w:lang w:val="en-US" w:eastAsia="zh-CN"/>
        </w:rPr>
        <w:t>提质增效   …………………………………</w:t>
      </w:r>
      <w:r>
        <w:rPr>
          <w:rFonts w:hint="eastAsia" w:ascii="Helvetica" w:hAnsi="Helvetica" w:eastAsia="宋体" w:cs="Helvetica"/>
          <w:b w:val="0"/>
          <w:bCs/>
          <w:color w:val="auto"/>
          <w:sz w:val="21"/>
          <w:szCs w:val="21"/>
          <w:lang w:val="en-US" w:eastAsia="zh-CN"/>
        </w:rPr>
        <w:t>………29</w:t>
      </w:r>
      <w:r>
        <w:rPr>
          <w:rFonts w:hint="eastAsia"/>
          <w:lang w:val="en-US" w:eastAsia="zh-CN"/>
        </w:rPr>
        <w:t xml:space="preserve">   </w:t>
      </w:r>
      <w:r>
        <w:rPr>
          <w:rFonts w:hint="eastAsia" w:asciiTheme="minorHAnsi" w:hAnsiTheme="minorHAnsi" w:eastAsiaTheme="minorEastAsia" w:cstheme="minorBidi"/>
          <w:b w:val="0"/>
          <w:bCs w:val="0"/>
          <w:kern w:val="2"/>
          <w:sz w:val="21"/>
          <w:szCs w:val="24"/>
          <w:lang w:val="en-US" w:eastAsia="zh-CN" w:bidi="ar-SA"/>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210" w:afterAutospacing="0" w:line="21" w:lineRule="atLeast"/>
        <w:ind w:left="0" w:leftChars="0" w:right="0" w:firstLine="3360" w:firstLineChars="1600"/>
        <w:rPr>
          <w:rFonts w:hint="eastAsia" w:asciiTheme="minorHAnsi" w:hAnsiTheme="minorHAnsi" w:eastAsiaTheme="minorEastAsia" w:cstheme="minorBidi"/>
          <w:b w:val="0"/>
          <w:bCs w:val="0"/>
          <w:kern w:val="2"/>
          <w:sz w:val="21"/>
          <w:szCs w:val="24"/>
          <w:lang w:val="en-US"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210" w:afterAutospacing="0" w:line="21" w:lineRule="atLeast"/>
        <w:ind w:left="0" w:leftChars="0" w:right="0" w:firstLine="3360" w:firstLineChars="1600"/>
        <w:rPr>
          <w:rFonts w:hint="eastAsia" w:asciiTheme="minorHAnsi" w:hAnsiTheme="minorHAnsi" w:eastAsiaTheme="minorEastAsia" w:cstheme="minorBidi"/>
          <w:b w:val="0"/>
          <w:bCs w:val="0"/>
          <w:kern w:val="2"/>
          <w:sz w:val="21"/>
          <w:szCs w:val="24"/>
          <w:lang w:val="en-US" w:eastAsia="zh-CN" w:bidi="ar-S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210" w:afterAutospacing="0" w:line="21" w:lineRule="atLeast"/>
        <w:ind w:left="0" w:leftChars="0" w:right="0" w:firstLine="3360" w:firstLineChars="1600"/>
        <w:rPr>
          <w:rFonts w:hint="eastAsia" w:asciiTheme="minorHAnsi" w:hAnsiTheme="minorHAnsi" w:eastAsiaTheme="minorEastAsia" w:cstheme="minorBidi"/>
          <w:b w:val="0"/>
          <w:bCs w:val="0"/>
          <w:kern w:val="2"/>
          <w:sz w:val="21"/>
          <w:szCs w:val="24"/>
          <w:lang w:val="en-US" w:eastAsia="zh-CN" w:bidi="ar-SA"/>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210" w:afterAutospacing="0" w:line="21" w:lineRule="atLeast"/>
        <w:ind w:left="0" w:leftChars="0" w:right="0" w:firstLine="3360" w:firstLineChars="1600"/>
        <w:rPr>
          <w:rFonts w:hint="eastAsia" w:asciiTheme="minorHAnsi" w:hAnsiTheme="minorHAnsi" w:eastAsiaTheme="minorEastAsia" w:cstheme="minorBidi"/>
          <w:b w:val="0"/>
          <w:bCs w:val="0"/>
          <w:kern w:val="2"/>
          <w:sz w:val="21"/>
          <w:szCs w:val="24"/>
          <w:lang w:val="en-US" w:eastAsia="zh-CN" w:bidi="ar-SA"/>
        </w:rPr>
      </w:pPr>
      <w:r>
        <w:rPr>
          <w:rFonts w:hint="eastAsia" w:asciiTheme="minorHAnsi" w:hAnsiTheme="minorHAnsi" w:eastAsiaTheme="minorEastAsia" w:cstheme="minorBidi"/>
          <w:b w:val="0"/>
          <w:bCs w:val="0"/>
          <w:kern w:val="2"/>
          <w:sz w:val="21"/>
          <w:szCs w:val="24"/>
          <w:lang w:val="en-US" w:eastAsia="zh-CN" w:bidi="ar-SA"/>
        </w:rPr>
        <w:t>与“网红拍卖师”陈良玲，聊聊她的“兼职”故事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210" w:afterAutospacing="0" w:line="21" w:lineRule="atLeast"/>
        <w:ind w:right="0" w:firstLine="4830" w:firstLineChars="2300"/>
        <w:rPr>
          <w:rFonts w:hint="default" w:asciiTheme="minorHAnsi" w:hAnsiTheme="minorHAnsi" w:eastAsiaTheme="minorEastAsia" w:cstheme="minorBidi"/>
          <w:b w:val="0"/>
          <w:bCs w:val="0"/>
          <w:kern w:val="2"/>
          <w:sz w:val="21"/>
          <w:szCs w:val="24"/>
          <w:lang w:val="en-US" w:eastAsia="zh-CN" w:bidi="ar-SA"/>
        </w:rPr>
      </w:pPr>
      <w:r>
        <w:rPr>
          <w:rFonts w:hint="eastAsia" w:asciiTheme="minorHAnsi" w:hAnsiTheme="minorHAnsi" w:eastAsiaTheme="minorEastAsia" w:cstheme="minorBidi"/>
          <w:b w:val="0"/>
          <w:bCs w:val="0"/>
          <w:kern w:val="2"/>
          <w:sz w:val="21"/>
          <w:szCs w:val="24"/>
          <w:lang w:val="en-US" w:eastAsia="zh-CN" w:bidi="ar-SA"/>
        </w:rPr>
        <w:t>…………………………………… 29</w:t>
      </w:r>
    </w:p>
    <w:p>
      <w:pPr>
        <w:ind w:left="3360" w:leftChars="1600" w:firstLine="0" w:firstLineChars="0"/>
      </w:pPr>
      <w:r>
        <w:rPr>
          <w:rFonts w:hint="eastAsia"/>
          <w:lang w:val="en-US" w:eastAsia="zh-CN"/>
        </w:rPr>
        <w:t>国之瑰宝再现，估价3.5亿 | 徐悲鸿《奴隶与狮》为何值得亚洲油画史上最高价？ ………………………45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r>
        <w:rPr>
          <w:rFonts w:hint="eastAsia"/>
          <w:b/>
          <w:bCs/>
          <w:sz w:val="32"/>
          <w:szCs w:val="32"/>
        </w:rPr>
        <w:t>关于2021年（第33期）全国拍卖师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rPr>
      </w:pPr>
      <w:r>
        <w:rPr>
          <w:rFonts w:hint="eastAsia"/>
          <w:b/>
          <w:bCs/>
          <w:sz w:val="32"/>
          <w:szCs w:val="32"/>
        </w:rPr>
        <w:t>资格考试报名的通知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各位考生：</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28"/>
        </w:rPr>
      </w:pPr>
      <w:r>
        <w:rPr>
          <w:rFonts w:hint="eastAsia"/>
          <w:sz w:val="28"/>
          <w:szCs w:val="28"/>
        </w:rPr>
        <w:t>为了促进拍卖行业有序发展，按照中华人民共和国人力资源和社会保障部《关于2021年度全国专业技术人员资格考试计划及有关问题的通知》要求，根据《拍卖师资格考试管理办法》规定，经全国拍卖师执业资格考试委员会2021年第一次全体会议决定，中拍协将组织2021年（第33期）全国拍卖师资格考试工作，现将考试报名及有关事宜通知如下：</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一、考试报名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（一）报名条件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凡报名参加考试的人员须同时具备以下条件：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1、具有中华人民共和国国籍；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2、具有完全民事行为能力；</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3、拥有国家承认的专科以上学历；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4、品行良好。</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凡符合以上条件的香港、澳门和台湾地区居民，也可报名参加考试。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（二）补考条件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1.报名补考笔试科目的考生应于本通知发布的报名期间内按要求报名。报考范围仅限2020年（第32期）拍卖师资格考试时不合格的笔试科目。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2.补考主持技巧的考生应于今年《笔试合格人员名单和主持技巧考试有关事项的通知》发布后（11月上旬）报名。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（三）报名程序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1、报名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考生须在中国拍卖行业协会网站（www.caa123.org.cn）上报名。报名时间从2021年5月13日起至6月25日止。具体步骤请按照《2021年拍卖师资格考试网上报名操作程序及说明》（附件1）操作。</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考生在填写报名信息时应符合以下要求并提供相关资料：</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（1）拥有国家承认的专科以上学历，并提供学历或学位证书原件扫描件；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（2）本人有效期限内的身份证件原件扫描件（双面）；</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（3）本人近期电子版1寸证件照片（要求：白底，jpg格式，像素295*413，文件不小于30KB）；</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（4）打印《拍卖师考试报名个人信息表》，签字确认后上传。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以上资料上传时请注意方向正确、四角对齐。</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2、查询及补充资料</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考生可于5月17日之后查询报名审核情况。未通过审核的考生应根据驳回理由尽快在网上补报资料，补报资料时间截止到6月30日。</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3、网上缴费</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审核通过的考生在网上缴纳考试报名费，每科80元，缴费时间截止到8月31日。（具体事宜详见附件2）</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4、打印准考证</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缴纳考试报名费后，考生应于9月16日起至考试现场报到前，自行打印《2021年拍卖师资格考试准考证》（准考证一律使用1张A4打印纸，不可分页打印,不可调整修改准考证格式）。</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新生准考证号及座位号在现场报到时分配。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二、考试安排</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（一）考试科目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2021年拍卖师资格考试分两个阶段实施。</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第一阶段为笔试（纸笔作答），共三个科目：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10月16日（星期六）上午9:00-11:30“拍卖实务”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10月16日（星期六）下午14:30-17:00“拍卖法律知识”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10月17日（星期日）上午9:00-11:30 “拍卖概论”</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第二阶段为主持技巧考试（实际操作），一个科目。时间为11月20日、21日。三科笔试科目成绩全部合格者，方可报名参加第二阶段考试。</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（二）考试大纲及参考书目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拍卖师资格考试各科目考试内容及参考书目参见《拍卖师资格考试大纲》(2021年版)（附件3）。主要参考书目包括：《拍卖实务》（人事出版社2021年版）、《拍卖法律教程》（人事出版社2021年版）、《拍卖概论》（2021年版）、《拍卖行业标准汇编》（2021年版）、《拍卖法律法规汇编》（人事出版社2021年版）。</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三、相关咨询</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（一）考试相关政策咨询</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中拍协拍卖师管理部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联 系 人：刘曦  刘颂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联系电话：010-64931499转8005、8004</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电子邮箱：liusong@caa123.org.cn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（二）网络报名技术咨询</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中拍协网络服务部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联系电话：4008985988</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sz w:val="28"/>
          <w:szCs w:val="28"/>
        </w:rPr>
      </w:pPr>
      <w:r>
        <w:rPr>
          <w:rFonts w:hint="eastAsia"/>
          <w:sz w:val="28"/>
          <w:szCs w:val="28"/>
        </w:rPr>
        <w:t>二○二一年五月十日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lang w:val="en-US" w:eastAsia="zh-CN"/>
        </w:rPr>
      </w:pPr>
      <w:r>
        <w:rPr>
          <w:rFonts w:hint="eastAsia"/>
          <w:b/>
          <w:bCs/>
          <w:sz w:val="32"/>
          <w:szCs w:val="32"/>
          <w:lang w:val="en-US" w:eastAsia="zh-CN"/>
        </w:rPr>
        <w:t>关于规范报废拆解船舶拍卖交易的指导意见</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lang w:val="en-US" w:eastAsia="zh-CN"/>
        </w:rPr>
        <w:t>为贯彻落实习近平生态文明思想和党中央关于生态文明建设决策部署，防止报废船舶流入改装市场和非法拆解渠道，杜绝非法拆解报废船舶污染水陆生态环境，根据《中华人民共和国拍卖法》、《中华人民共和国固体废物污染环境防治法》、国务院《防止拆船污染环境管理条例》（国发〔1988〕31号）、《排污许可管理条例》（国令第736号），以及商务部《拍卖管理办法》等有关法律法规，经中国拆船协会、中国拍卖行业协会共同研究，现就报废拆解船舶拍卖交易提出如下指导意见：</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lang w:val="en-US" w:eastAsia="zh-CN"/>
        </w:rPr>
        <w:t>一、关于报废拆解船舶拍卖业务的承揽。拍卖企业应注意审核《委托拍卖合同》，使其符合国务院及生态环境部等部门有关拆解报废船舶安全环保的行政法规规定和国家环境标准规范。建议在《委托拍卖合同》与委托人明确约定，不将标的交由不符合规定条件的企业或个人回收、拆解。</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lang w:val="en-US" w:eastAsia="zh-CN"/>
        </w:rPr>
        <w:t>二、关于报废拆解船舶的竞买人资格审查。拍卖企业应严格依照《中华人民共和国固体废物污染环境防治法》及国务院《防止拆船污染环境管理条例》等环境保护法律、法规，国家标准的规定，对报废拆解船舶的竞买人进行资格审查。对不能提供由生态环境部门批准的拆船“环境影响评价审批意见文号（备案编号）”和核发的拆船“排污许可证”的单位和个人，不得接受报名参加拆解报废船舶的竞拍。</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r>
        <w:rPr>
          <w:rFonts w:hint="eastAsia"/>
          <w:sz w:val="28"/>
          <w:szCs w:val="28"/>
          <w:lang w:val="en-US" w:eastAsia="zh-CN"/>
        </w:rPr>
        <w:t>本指导意见请参照执行。执行中有意见建议，请联系中国拍卖行业协会。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lang w:val="en-US" w:eastAsia="zh-CN"/>
        </w:rPr>
        <w:t>联系电话：010-64936477</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sz w:val="28"/>
          <w:szCs w:val="28"/>
        </w:rPr>
      </w:pPr>
      <w:r>
        <w:rPr>
          <w:rFonts w:hint="eastAsia"/>
          <w:sz w:val="28"/>
          <w:szCs w:val="28"/>
        </w:rPr>
        <w:t>二〇二一年五月二十一日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8"/>
          <w:szCs w:val="28"/>
        </w:rPr>
      </w:pPr>
      <w:r>
        <w:rPr>
          <w:rFonts w:hint="eastAsia"/>
          <w:b/>
          <w:bCs/>
          <w:sz w:val="32"/>
          <w:szCs w:val="32"/>
        </w:rPr>
        <w:t>中国拍卖行业协会六届一次常务理事会线上召开</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5月26日上午，中国拍卖行业协会六届一次常务理事会线上召开。中拍协会长黄小坚、副会长王中明、法勇生、陈志坤、刘耀华、祁志峰、韩涛、李卫东、胡妍妍、蒋迎春、万捷、冯明强、王俪潼、陈雷、高荣梅，特邀副会长雷敏、苗华甫及常务理事49人（含副会长）出席会议，各省市协会负责人列席会议。会议由中拍协会长黄小坚主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r>
        <w:rPr>
          <w:rFonts w:hint="eastAsia"/>
          <w:sz w:val="28"/>
          <w:szCs w:val="28"/>
        </w:rPr>
        <w:t>    </w:t>
      </w:r>
      <w:r>
        <w:rPr>
          <w:rFonts w:hint="eastAsia"/>
          <w:sz w:val="28"/>
          <w:szCs w:val="28"/>
          <w:lang w:val="en-US" w:eastAsia="zh-CN"/>
        </w:rPr>
        <w:t xml:space="preserve"> </w:t>
      </w:r>
      <w:r>
        <w:rPr>
          <w:rFonts w:hint="eastAsia"/>
          <w:sz w:val="28"/>
          <w:szCs w:val="28"/>
        </w:rPr>
        <w:t>会议首先由欧树英副秘书长介绍第一季度行业经营情况，并对行业今年重点工作推进情况进行汇报。据商务部“全国拍卖行业信息管理系统”统计，截至今年第一季度末，全国共有拍卖企业8653家，同比新增773家，企业数量增长9.81%；一季度拍卖行业实现成交额1530.02亿元，同比增长69.91%。全国拍卖会共成交24137场，净增加场次12039场，同比增幅高达99.5%。从行业效益来看，1-3月份，全行业共实现拍卖业务佣金收入10.03亿元，同比增幅77.19%，上缴增值税金较上年同期增长96.94%。从各类拍卖标的来看，成交额普遍大幅增长。其中，文物艺术品拍卖成交额12.02亿元，同比增幅363.98%，为各类标的最大增幅，究其原因主要是因为去年同期受疫情影响多数拍卖企业取消或延后了拍卖会，而今年同期恢复了正常的拍卖活动；房地产、土地使用权拍卖业务分别增长了66.37%、41.04%，正是其平稳的增长奠定了一季度行业大幅拉升的基础；机动车、股权债权、农副产品等新兴业务表现突出。就委托来源来看，一季度，全国拍卖业务委托来源结构稳中有变，金融机构、破产清算组、其他机构和个人委托在成交额大幅增长的基础上，在各主要委托占比中有所提升。一季度，从拍卖成交的区域分布看，河北、安徽、福建、四川、山东、上海和浙江七省市拍卖成交额仍然位居全国前列，均超过100亿元。</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r>
        <w:rPr>
          <w:rFonts w:hint="eastAsia"/>
          <w:sz w:val="28"/>
          <w:szCs w:val="28"/>
        </w:rPr>
        <w:t>    </w:t>
      </w:r>
      <w:r>
        <w:rPr>
          <w:rFonts w:hint="eastAsia"/>
          <w:sz w:val="28"/>
          <w:szCs w:val="28"/>
          <w:lang w:val="en-US" w:eastAsia="zh-CN"/>
        </w:rPr>
        <w:t xml:space="preserve"> </w:t>
      </w:r>
      <w:r>
        <w:rPr>
          <w:rFonts w:hint="eastAsia"/>
          <w:sz w:val="28"/>
          <w:szCs w:val="28"/>
        </w:rPr>
        <w:t>今年重点工作推进情况方面，年初对照中拍协第六次会员代表大会确定的行业发展目标任务，制定全年工作计划，并组成由中拍协会长、副会长牵头，秘书处工作人员作为联络人的11个工作组对年内12大项工作进行落实。各工作组已按照既定计划逐步推进并取得一定成效，下半年将继续开展相关工作，努力完成既定目标。</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r>
        <w:rPr>
          <w:rFonts w:hint="eastAsia"/>
          <w:sz w:val="28"/>
          <w:szCs w:val="28"/>
        </w:rPr>
        <w:t>    </w:t>
      </w:r>
      <w:r>
        <w:rPr>
          <w:rFonts w:hint="eastAsia"/>
          <w:sz w:val="28"/>
          <w:szCs w:val="28"/>
          <w:lang w:val="en-US" w:eastAsia="zh-CN"/>
        </w:rPr>
        <w:t xml:space="preserve"> </w:t>
      </w:r>
      <w:r>
        <w:rPr>
          <w:rFonts w:hint="eastAsia"/>
          <w:sz w:val="28"/>
          <w:szCs w:val="28"/>
        </w:rPr>
        <w:t>会议第二项由李卫东副会长传达民政部《关于进一步加强社会组织管理严格规范社会组织行为的通知》、《民政部关于开展清理整治社会组织违规评选评奖工作的通知》，要求各地方拍协按照民政部有关要求，提高认识，规范自身行为。随后，李卫东副会长还传达了中物联党委关于党史学习教育有关要求，围绕党史学习教育的意义、目标任务、基本要求等向行业和企业发出号召。</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r>
        <w:rPr>
          <w:rFonts w:hint="eastAsia"/>
          <w:sz w:val="28"/>
          <w:szCs w:val="28"/>
        </w:rPr>
        <w:t>    </w:t>
      </w:r>
      <w:r>
        <w:rPr>
          <w:rFonts w:hint="eastAsia"/>
          <w:sz w:val="28"/>
          <w:szCs w:val="28"/>
          <w:lang w:val="en-US" w:eastAsia="zh-CN"/>
        </w:rPr>
        <w:t xml:space="preserve"> </w:t>
      </w:r>
      <w:r>
        <w:rPr>
          <w:rFonts w:hint="eastAsia"/>
          <w:sz w:val="28"/>
          <w:szCs w:val="28"/>
        </w:rPr>
        <w:t>会议表决并通过了聘请芦炎昌同志担任会长助理；聘请欧树英、季乐同志担任中拍协副秘书长；聘请李卫东同志担任中拍协艺委会主任委员；聘请韩涛同志担任中拍协车委会主任委员。会议表决通过了对136家新会员入会备案，54家会员做退会处理的决定。</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r>
        <w:rPr>
          <w:rFonts w:hint="eastAsia"/>
          <w:sz w:val="28"/>
          <w:szCs w:val="28"/>
        </w:rPr>
        <w:t>    </w:t>
      </w:r>
      <w:r>
        <w:rPr>
          <w:rFonts w:hint="eastAsia"/>
          <w:sz w:val="28"/>
          <w:szCs w:val="28"/>
          <w:lang w:val="en-US" w:eastAsia="zh-CN"/>
        </w:rPr>
        <w:t xml:space="preserve"> </w:t>
      </w:r>
      <w:r>
        <w:rPr>
          <w:rFonts w:hint="eastAsia"/>
          <w:sz w:val="28"/>
          <w:szCs w:val="28"/>
        </w:rPr>
        <w:t>会议最后，黄小坚会长做总结讲话。他讲到，各常务理事和各省市协会会后要认真学习贯彻会议精神。他提出三点要求：一是要将民政部文件精神认真贯彻执行；二是会后要在行业和会员中广泛掀起学习热潮，要学习党史、新中国史、改革开放史、社会主义发展史，将学习党史为群众办实事当作主要工作来抓；三是通过学习，要发扬服务大局、服务社会的政治自觉性，紧紧围绕行业中心工作，以促进行业高质量发展为中心任务，为国家、社会、会员服务做出更大贡献！</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sz w:val="28"/>
          <w:szCs w:val="28"/>
        </w:rPr>
      </w:pPr>
      <w:r>
        <w:rPr>
          <w:rFonts w:hint="eastAsia"/>
          <w:sz w:val="28"/>
          <w:szCs w:val="28"/>
        </w:rPr>
        <w:t>--来源：中拍协理论宣传部</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8"/>
          <w:szCs w:val="28"/>
        </w:rPr>
      </w:pPr>
      <w:r>
        <w:rPr>
          <w:rFonts w:hint="eastAsia"/>
          <w:b/>
          <w:bCs/>
          <w:sz w:val="32"/>
          <w:szCs w:val="32"/>
        </w:rPr>
        <w:t>中国拍卖行业协会与中国人民大学应用经济学院签署合作协议</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5月27日，中国拍卖行业协会与中国人民大学应用经济学院合作协议签约仪式在中国拍卖行业协会举行。中国拍卖行业协会黄小坚会长、李卫东副会长、芦炎昌会长助理、欧树英副秘书长、法咨委李仁玉委员等，中国人民大学应用经济学院黄隽副院长、苏立副教授、周文戟副教授、郑㼆助理教授等参加了签约仪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拍卖是资源配置的重要方式，拍卖理论与实践是经济学的重要内容。双方将联合搭建中国拍卖产业研究平台，依托拍卖行业积累的数据资源、业务实践及平台资源，开展拍卖理论和实证研究；推动行业对创新拍卖机制的探索和落地实践，拓展拍卖交易机制的应用领域；开展拍卖行业管理政策研究，提出产业政策优化建议；共同开展中国特色社会主义市场经济体系下拍卖理论探索、机制设计、模式创新等领域的研究，为中国特色的拍卖产业发展提供理论支撑和创新引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 在签约仪式前，中国拍卖行业协会举办了“中国拍卖行业2021年度形势分析暨发展战略研讨会”，研讨主题为“拍卖理论与业务创新”。中国拍卖行业协会副会长、上海、四川拍卖行业协会、企业通过线上的形式参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中国人民大学应用经济学院郑㼆助理教授以“拍卖理论与实践及我国拍卖业务创新与突破”、周文戟副教授以“碳中和目标下低碳投资需求与碳市场拍卖机制”、苏立副教授以“政府采购中的拍卖机制及其最新进展”、黄隽教授以“从NFT与看艺术品拍卖市场变化”为主题先后发言。</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 中拍协副会长、昆明国际花卉拍卖交易中心有限公司总经理高荣梅也就“从花拍的交易机制与数据窥鲜切花农产品的产业发展”、中拍协法咨委委员、北京工商大学法学院李仁玉教授就“拍卖业务创新与法律规范调整”做了发言。之后与会人员就拍卖行业的发展进行了线上和线下的讨论。</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center"/>
        <w:textAlignment w:val="auto"/>
        <w:rPr>
          <w:rFonts w:hint="eastAsia"/>
          <w:b/>
          <w:bCs/>
          <w:sz w:val="32"/>
          <w:szCs w:val="32"/>
        </w:rPr>
      </w:pPr>
      <w:r>
        <w:rPr>
          <w:rFonts w:hint="eastAsia"/>
          <w:b/>
          <w:bCs/>
          <w:sz w:val="32"/>
          <w:szCs w:val="32"/>
        </w:rPr>
        <w:t>“2021中国文博产业发展峰会”召开 聚焦海南文化艺术品拍卖中心建设</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jc w:val="center"/>
        <w:textAlignment w:val="auto"/>
        <w:rPr>
          <w:rFonts w:hint="eastAsia"/>
          <w:b/>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6月19日，由国家文物局、中华全国工商业联合会指导，海南省地方金融监督管理局、中国文物交流中心、中国民营文化产业商会共同主办，海口市人民政府、海南省文物局、中国拍卖行业协会等单位支持的“2021中国文博产业发展峰会”在海口市举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第十二届全国政协副主席王钦敏，中华全国工商业联合会副主席李兆前，国家文物局原局长刘玉珠，海南省人民政府副省长王路，中国文物交流中心主任谭平，海南省地方金融监督管理局局长陈阳，海口市委副书记、市长丁晖等领导出席开幕式。开幕式由中国民营文化产业商会会长吕建中主持。中国拍卖行业协会副会长李卫东做《海南建设国际艺术品拍卖产业的路径》主题演讲。</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来自全国及海南省的有关政府部门、文化机构、拍卖企业、画廊、文博单位、高等院校、科研机构、社会企业等领导嘉宾、专家学者、企业家代表约300人参会。中拍协副会长李卫东、中拍协艺委会秘书长余锦生，中国民营文化产业商会副会长、未来四方集团拍卖有限公司董事长瞿金叶，中贸圣佳国际拍卖有限公司总经理薛世清，十竹斋（北京）拍卖有限公司总经理方政，保利（厦门）国际拍卖有限公司董事郭仲桦，天津鼎天国际拍卖有限公司董事长杜耕，广州华艺国际拍卖有限公司副总裁王荐、北京景星麟凤国际拍卖有限公司总经理赵春安等拍卖行业代表出席峰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参加峰会的领导和嘉宾共同启动海南国际文化艺术品交易中心交易系统按钮，并见证海南国际文化艺术品交易中心与中国科学院软件研究所、海口江东新区管理局、中国移动通信集团海南有限公司、中国银行海南省分行、丝绸之路国际总商会、中国民营文化产业商会、德国国际经济与文化交流促进会等10余家机构签署战略合作协议。同时为“中国海外回流文物艺术品征集展示中心”“博物馆知识产权服务中心（海南）”“国际文物交流平台（海南）”揭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 峰会上，与会领导和专家围绕“文博产业在海南自贸港建设中的机遇”“文化艺术品交易模式的科技支撑”“创建跨境艺术品交易的有利环境”等进行主题演讲、高峰对话，为推动文化艺术品数字化建设，形成文化艺术品交易国际标准和规则，引领文化艺术品交易的国际化、专业化、标准化、数字化创新发展建言献策。</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  李卫东副会长在峰会上介绍了我国文物艺术品拍卖行业基本情况并就海南建设文化艺术品拍卖中心发表看法。他认为“海南是我国最大的经济特区，建设海南自贸港是国家更深程度、更高层次、更宽领域参与经济全球化的重要战略部署。未来，文化产业是国际合作与竞争的重要内容，也是拉动我国经济的重要增长点，在海南建设具有国际视野和“双循环”功能的艺术品拍卖产业，具有百年难遇的时代机遇和政策机遇。”他同时对海南建设艺术品拍卖中心提出四点建议，一是以“便利自由”为原则，打造与国际同等的营商环境；二是以“税收优惠”为引力，为艺术品拍卖提供必要条件；三是以“业态构建”为内容，建设艺术品拍卖产业体系；以“文旅结合”为方向，为文化艺术品拍卖打实基础。李副会长最后表示：“新时代下，艺术品市场有着非常广阔的发展机遇和空间。下一步，在国家政策的支持下，政府部门的主导下，中拍协将与有关方面共同建设海南国际艺术品拍卖中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峰会期间还举行中国博物馆协会非国有博物馆专业委员会——第九届博博会筹备会，2021大唐西市春季艺术品拍卖会，光华永驻——中国艺术经典拍卖之夜（鼎天拍卖承办）、2021国际当代艺术联展，大唐西市2021珍瑞长安古玩艺术品展，传承-2021徐悲鸿、戴泽专题展览等10余项活动。</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sz w:val="28"/>
          <w:szCs w:val="28"/>
        </w:rPr>
      </w:pPr>
      <w:r>
        <w:rPr>
          <w:rFonts w:hint="eastAsia"/>
          <w:sz w:val="28"/>
          <w:szCs w:val="28"/>
        </w:rPr>
        <w:t>本次峰会是在中共中央、国务院印发《海南自由贸易港建设总体方案》一周年、第十三届全国人民代表大会常务委员会第二十九次会议审议通过《中华人民共和国海南自由贸易港法》之际举办的一场文化和文博盛会。峰会的举办和海南国际文化艺术品交易中心的开业，对于促进海南文化产业和文博事业发展、创建国家对外文化贸易基地和国际旅游消费中心具有重要推动作用，必将为引领数字文博产业创新发展、推动中国特色社会主义文化繁荣兴盛、助力海南加快建设高水平的中国特色自由贸易港作出重要贡献！</w:t>
      </w:r>
    </w:p>
    <w:p>
      <w:pPr>
        <w:jc w:val="center"/>
        <w:rPr>
          <w:rFonts w:ascii="宋体" w:hAnsi="宋体"/>
          <w:b/>
          <w:sz w:val="32"/>
          <w:szCs w:val="32"/>
        </w:rPr>
      </w:pPr>
      <w:r>
        <w:rPr>
          <w:rFonts w:hint="eastAsia" w:ascii="宋体" w:hAnsi="宋体"/>
          <w:b/>
          <w:sz w:val="32"/>
          <w:szCs w:val="32"/>
        </w:rPr>
        <w:t>2021年一季度全国拍卖行业</w:t>
      </w:r>
    </w:p>
    <w:p>
      <w:pPr>
        <w:jc w:val="center"/>
        <w:rPr>
          <w:rFonts w:ascii="宋体" w:hAnsi="宋体"/>
          <w:b/>
          <w:sz w:val="32"/>
          <w:szCs w:val="32"/>
        </w:rPr>
      </w:pPr>
      <w:r>
        <w:rPr>
          <w:rFonts w:hint="eastAsia" w:ascii="宋体" w:hAnsi="宋体"/>
          <w:b/>
          <w:sz w:val="32"/>
          <w:szCs w:val="32"/>
        </w:rPr>
        <w:t>经营情况简报</w:t>
      </w:r>
    </w:p>
    <w:p>
      <w:pPr>
        <w:pStyle w:val="6"/>
        <w:spacing w:before="312" w:beforeLines="100" w:beforeAutospacing="0"/>
        <w:ind w:firstLine="562" w:firstLineChars="200"/>
        <w:contextualSpacing/>
        <w:rPr>
          <w:rFonts w:ascii="黑体" w:hAnsi="黑体" w:eastAsia="黑体"/>
          <w:b/>
          <w:sz w:val="28"/>
          <w:szCs w:val="28"/>
        </w:rPr>
      </w:pPr>
      <w:r>
        <w:rPr>
          <w:rFonts w:hint="eastAsia" w:ascii="黑体" w:hAnsi="黑体" w:eastAsia="黑体"/>
          <w:b/>
          <w:sz w:val="28"/>
          <w:szCs w:val="28"/>
        </w:rPr>
        <w:t>一</w:t>
      </w:r>
      <w:r>
        <w:rPr>
          <w:rFonts w:hint="eastAsia" w:ascii="黑体" w:hAnsi="黑体" w:eastAsia="黑体"/>
          <w:sz w:val="28"/>
          <w:szCs w:val="28"/>
        </w:rPr>
        <w:t>、一季度行业基本情况</w:t>
      </w:r>
    </w:p>
    <w:p>
      <w:pPr>
        <w:pStyle w:val="12"/>
        <w:ind w:firstLine="560"/>
        <w:rPr>
          <w:rFonts w:hint="eastAsia" w:ascii="宋体" w:hAnsi="宋体" w:eastAsia="宋体" w:cs="宋体"/>
          <w:sz w:val="28"/>
          <w:szCs w:val="28"/>
        </w:rPr>
      </w:pPr>
      <w:r>
        <w:rPr>
          <w:rFonts w:hint="eastAsia" w:ascii="宋体" w:hAnsi="宋体" w:eastAsia="宋体" w:cs="宋体"/>
          <w:sz w:val="28"/>
          <w:szCs w:val="28"/>
        </w:rPr>
        <w:t>据商务部“全国拍卖行业信息管理系统”统计，截至今年第一季度末，全国共有拍卖企业8653家，同比新增773家，企业数量增长9.81%；有拍卖企业分支机构共计266家，与上年持平。全国有拍卖从业人员68900人，其中注册拍卖师12029人。</w:t>
      </w:r>
    </w:p>
    <w:p>
      <w:pPr>
        <w:pStyle w:val="12"/>
        <w:ind w:firstLine="560"/>
        <w:rPr>
          <w:rFonts w:hint="eastAsia" w:ascii="宋体" w:hAnsi="宋体" w:eastAsia="宋体" w:cs="宋体"/>
          <w:sz w:val="28"/>
          <w:szCs w:val="28"/>
        </w:rPr>
      </w:pPr>
      <w:r>
        <w:rPr>
          <w:rFonts w:hint="eastAsia" w:ascii="宋体" w:hAnsi="宋体" w:eastAsia="宋体" w:cs="宋体"/>
          <w:sz w:val="28"/>
          <w:szCs w:val="28"/>
        </w:rPr>
        <w:t>一季度拍卖行业实现成交额1530.02亿元，同比增长69.91%。全国拍卖会共成交24137场，净增加场次12039场，同比增幅高达99.5%。</w:t>
      </w:r>
    </w:p>
    <w:p>
      <w:pPr>
        <w:pStyle w:val="6"/>
        <w:numPr>
          <w:ilvl w:val="0"/>
          <w:numId w:val="1"/>
        </w:numPr>
        <w:contextualSpacing/>
        <w:rPr>
          <w:rFonts w:ascii="黑体" w:hAnsi="黑体" w:eastAsia="黑体"/>
          <w:sz w:val="28"/>
          <w:szCs w:val="28"/>
        </w:rPr>
      </w:pPr>
      <w:r>
        <w:rPr>
          <w:rFonts w:hint="eastAsia" w:ascii="黑体" w:hAnsi="黑体" w:eastAsia="黑体"/>
          <w:sz w:val="28"/>
          <w:szCs w:val="28"/>
        </w:rPr>
        <w:t>一季度行业经营综述</w:t>
      </w:r>
      <w:r>
        <w:rPr>
          <w:rFonts w:hint="eastAsia" w:ascii="黑体" w:hAnsi="黑体" w:eastAsia="黑体"/>
          <w:sz w:val="28"/>
          <w:szCs w:val="28"/>
        </w:rPr>
        <w:tab/>
      </w:r>
    </w:p>
    <w:p>
      <w:pPr>
        <w:pStyle w:val="12"/>
        <w:ind w:firstLine="560"/>
        <w:rPr>
          <w:rFonts w:hint="eastAsia" w:ascii="宋体" w:hAnsi="宋体" w:eastAsia="宋体" w:cs="宋体"/>
          <w:sz w:val="28"/>
          <w:szCs w:val="28"/>
        </w:rPr>
      </w:pPr>
      <w:r>
        <w:rPr>
          <w:rFonts w:hint="eastAsia" w:ascii="宋体" w:hAnsi="宋体" w:eastAsia="宋体" w:cs="宋体"/>
          <w:color w:val="191919"/>
          <w:sz w:val="28"/>
          <w:szCs w:val="28"/>
          <w:shd w:val="clear" w:color="auto" w:fill="FFFFFF"/>
        </w:rPr>
        <w:t>一季度我国大陆地区走出新冠疫情影响，经济稳步增长，在此宏观经济背景下，拍卖活动异常活跃，拍卖行业继续在成交额、成交场次、佣金收入、税收缴纳等方面实现大幅增长。</w:t>
      </w:r>
      <w:r>
        <w:rPr>
          <w:rFonts w:hint="eastAsia" w:ascii="宋体" w:hAnsi="宋体" w:eastAsia="宋体" w:cs="宋体"/>
          <w:color w:val="000000"/>
          <w:sz w:val="28"/>
          <w:szCs w:val="28"/>
        </w:rPr>
        <w:t>一季度全行业实现拍卖成交额</w:t>
      </w:r>
      <w:r>
        <w:rPr>
          <w:rFonts w:hint="eastAsia" w:ascii="宋体" w:hAnsi="宋体" w:eastAsia="宋体" w:cs="宋体"/>
          <w:sz w:val="28"/>
          <w:szCs w:val="28"/>
        </w:rPr>
        <w:t>1530.02</w:t>
      </w:r>
      <w:r>
        <w:rPr>
          <w:rFonts w:hint="eastAsia" w:ascii="宋体" w:hAnsi="宋体" w:eastAsia="宋体" w:cs="宋体"/>
          <w:color w:val="000000"/>
          <w:sz w:val="28"/>
          <w:szCs w:val="28"/>
        </w:rPr>
        <w:t>亿元，较2020年一季度成交额增长629.53亿元，增幅高达</w:t>
      </w:r>
      <w:r>
        <w:rPr>
          <w:rFonts w:hint="eastAsia" w:ascii="宋体" w:hAnsi="宋体" w:eastAsia="宋体" w:cs="宋体"/>
          <w:sz w:val="28"/>
          <w:szCs w:val="28"/>
        </w:rPr>
        <w:t>69.91%；</w:t>
      </w:r>
      <w:r>
        <w:rPr>
          <w:rFonts w:hint="eastAsia" w:ascii="宋体" w:hAnsi="宋体" w:eastAsia="宋体" w:cs="宋体"/>
          <w:color w:val="000000"/>
          <w:sz w:val="28"/>
          <w:szCs w:val="28"/>
        </w:rPr>
        <w:t>较历史同期最高的2018年一季度成交额增长386.62亿元，成为行业自2015年以来一个新的高峰（见图1）。</w:t>
      </w:r>
    </w:p>
    <w:p>
      <w:pPr>
        <w:pStyle w:val="12"/>
        <w:ind w:firstLine="560"/>
        <w:rPr>
          <w:rFonts w:hint="eastAsia" w:ascii="宋体" w:hAnsi="宋体" w:eastAsia="宋体" w:cs="宋体"/>
          <w:color w:val="000000"/>
          <w:sz w:val="28"/>
          <w:szCs w:val="28"/>
        </w:rPr>
      </w:pPr>
      <w:r>
        <w:rPr>
          <w:rFonts w:hint="eastAsia" w:ascii="宋体" w:hAnsi="宋体" w:eastAsia="宋体" w:cs="宋体"/>
          <w:color w:val="000000"/>
          <w:sz w:val="28"/>
          <w:szCs w:val="28"/>
        </w:rPr>
        <w:t>从行业效益来看，一季度全行业佣金收入及纳税情况都出现较大幅度增长。1-3月份，全行业共实现拍卖业务佣金收入10.03亿元，同比增幅77.19%，佣金绝对额增长4.37亿元；一季度全行业上缴增值税金合计近0.67亿元，较上年同期增长96.94%。</w:t>
      </w:r>
    </w:p>
    <w:p>
      <w:pPr>
        <w:pStyle w:val="13"/>
        <w:ind w:firstLine="0" w:firstLineChars="0"/>
        <w:jc w:val="center"/>
        <w:rPr>
          <w:rFonts w:ascii="黑体" w:hAnsi="黑体" w:eastAsia="黑体"/>
          <w:sz w:val="28"/>
          <w:szCs w:val="28"/>
        </w:rPr>
      </w:pPr>
    </w:p>
    <w:p>
      <w:pPr>
        <w:pStyle w:val="13"/>
        <w:ind w:right="840" w:firstLine="0" w:firstLineChars="0"/>
        <w:jc w:val="center"/>
        <w:rPr>
          <w:rFonts w:hint="eastAsia" w:ascii="黑体" w:hAnsi="黑体" w:eastAsia="黑体"/>
          <w:szCs w:val="21"/>
        </w:rPr>
      </w:pPr>
      <w:r>
        <w:rPr>
          <w:rFonts w:hint="eastAsia" w:ascii="黑体" w:hAnsi="黑体" w:eastAsia="黑体"/>
          <w:szCs w:val="21"/>
        </w:rPr>
        <w:t>图1    2015-2021</w:t>
      </w:r>
      <w:r>
        <w:rPr>
          <w:rFonts w:hint="eastAsia" w:ascii="黑体" w:hAnsi="黑体" w:eastAsia="黑体" w:cs="Batang"/>
          <w:szCs w:val="21"/>
        </w:rPr>
        <w:t>年</w:t>
      </w:r>
      <w:r>
        <w:rPr>
          <w:rFonts w:hint="eastAsia" w:ascii="黑体" w:hAnsi="黑体" w:eastAsia="黑体"/>
          <w:szCs w:val="21"/>
        </w:rPr>
        <w:t>一季度拍卖行业成交额       单位：亿元</w:t>
      </w:r>
    </w:p>
    <w:p>
      <w:pPr>
        <w:pStyle w:val="13"/>
        <w:ind w:firstLine="0" w:firstLineChars="0"/>
        <w:rPr>
          <w:rFonts w:hint="eastAsia" w:ascii="仿宋" w:hAnsi="仿宋" w:eastAsia="仿宋"/>
          <w:color w:val="000000"/>
          <w:sz w:val="28"/>
          <w:szCs w:val="28"/>
        </w:rPr>
      </w:pPr>
      <w:r>
        <w:rPr>
          <w:rFonts w:ascii="仿宋" w:hAnsi="仿宋" w:eastAsia="仿宋"/>
          <w:color w:val="000000"/>
          <w:sz w:val="28"/>
          <w:szCs w:val="28"/>
        </w:rPr>
        <w:object>
          <v:shape id="_x0000_i1025" o:spt="75" type="#_x0000_t75" style="height:242.9pt;width:416.7pt;" o:ole="t" filled="f" stroked="f" coordsize="21600,21600">
            <v:path/>
            <v:fill on="f" focussize="0,0"/>
            <v:stroke on="f"/>
            <v:imagedata r:id="rId7" o:title=""/>
            <o:lock v:ext="edit" grouping="f" rotation="f" text="f" aspectratio="f"/>
            <w10:wrap type="none"/>
            <w10:anchorlock/>
          </v:shape>
          <o:OLEObject Type="Embed" ProgID="Excel.Chart.8" ShapeID="_x0000_i1025" DrawAspect="Content" ObjectID="_1468075725" r:id="rId6">
            <o:LockedField>false</o:LockedField>
          </o:OLEObject>
        </w:object>
      </w:r>
    </w:p>
    <w:p>
      <w:pPr>
        <w:pStyle w:val="13"/>
        <w:ind w:firstLine="560"/>
        <w:rPr>
          <w:rFonts w:hint="eastAsia" w:ascii="宋体" w:hAnsi="宋体" w:eastAsia="宋体" w:cs="宋体"/>
          <w:b/>
          <w:szCs w:val="21"/>
        </w:rPr>
      </w:pPr>
      <w:r>
        <w:rPr>
          <w:rFonts w:hint="eastAsia" w:ascii="宋体" w:hAnsi="宋体" w:eastAsia="宋体" w:cs="宋体"/>
          <w:color w:val="000000"/>
          <w:sz w:val="28"/>
          <w:szCs w:val="28"/>
        </w:rPr>
        <w:t>今年3月份行业单月成交额呈现快速、较大幅度增长，达到665.93亿元，同比增长75.94%，较2019年增长75.94%。</w:t>
      </w:r>
    </w:p>
    <w:p>
      <w:pPr>
        <w:spacing w:before="156" w:beforeLines="50" w:after="156" w:afterLines="50"/>
        <w:ind w:firstLine="560" w:firstLineChars="200"/>
        <w:jc w:val="left"/>
        <w:rPr>
          <w:rFonts w:ascii="黑体" w:hAnsi="黑体" w:eastAsia="黑体"/>
          <w:sz w:val="28"/>
          <w:szCs w:val="28"/>
        </w:rPr>
      </w:pPr>
      <w:r>
        <w:rPr>
          <w:rFonts w:hint="eastAsia" w:ascii="黑体" w:hAnsi="黑体" w:eastAsia="黑体"/>
          <w:sz w:val="28"/>
          <w:szCs w:val="28"/>
        </w:rPr>
        <w:t>三、一季度行业经营特点</w:t>
      </w:r>
    </w:p>
    <w:p>
      <w:pPr>
        <w:ind w:firstLine="562" w:firstLineChars="200"/>
        <w:jc w:val="left"/>
        <w:rPr>
          <w:rFonts w:hint="eastAsia" w:ascii="宋体" w:hAnsi="宋体" w:eastAsia="宋体" w:cs="宋体"/>
          <w:b/>
          <w:sz w:val="28"/>
          <w:szCs w:val="28"/>
        </w:rPr>
      </w:pPr>
      <w:r>
        <w:rPr>
          <w:rFonts w:hint="eastAsia" w:ascii="宋体" w:hAnsi="宋体" w:eastAsia="宋体" w:cs="宋体"/>
          <w:b/>
          <w:sz w:val="28"/>
          <w:szCs w:val="28"/>
        </w:rPr>
        <w:t>（一）拍品结构特点</w:t>
      </w:r>
    </w:p>
    <w:p>
      <w:pPr>
        <w:spacing w:before="156" w:beforeLines="50"/>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一季度，各拍卖标的呈现以下主要特点：</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1、各类拍卖标的成交额普遍大幅增长</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今年一季度，各类拍卖标的成交额普遍大幅增长。其中，文物艺术品拍卖成交额12.02亿元，同比增幅363.98%，为各类标的最大增幅，究其原因主要是因为去年同期受疫情影响多数拍卖企业取消或延后了传统的春季拍卖会，而今年同期恢复了正常的春季拍卖活动；机动车拍卖成交额68.99亿元，增幅273.23%；其他类标的拍卖成交额218.96亿元，增幅254.87%；股权债权拍卖成交额106.01亿元，增幅96.2%；房地产拍卖成交额267.98亿元，增幅66.37%；农副产品拍卖成交额5.64亿元，增幅59.34%；无形资产类标的拍卖成交额63.73亿元，增幅54.29%；土地使用权标的拍卖成交额786.65亿元，增幅41.04%（见表1）。</w:t>
      </w:r>
    </w:p>
    <w:p>
      <w:pPr>
        <w:spacing w:before="312" w:beforeLines="100"/>
        <w:ind w:right="840" w:firstLine="1050" w:firstLineChars="500"/>
        <w:rPr>
          <w:rFonts w:hint="eastAsia" w:ascii="黑体" w:hAnsi="黑体" w:eastAsia="黑体" w:cs="黑体"/>
          <w:szCs w:val="21"/>
          <w:lang w:val="en-US" w:eastAsia="zh-CN"/>
        </w:rPr>
      </w:pPr>
      <w:r>
        <w:rPr>
          <w:rFonts w:hint="eastAsia" w:ascii="黑体" w:hAnsi="黑体" w:eastAsia="黑体" w:cs="黑体"/>
          <w:szCs w:val="21"/>
        </w:rPr>
        <w:t xml:space="preserve">表1  </w:t>
      </w:r>
      <w:r>
        <w:rPr>
          <w:rFonts w:ascii="黑体" w:hAnsi="黑体" w:eastAsia="黑体" w:cs="黑体"/>
          <w:szCs w:val="21"/>
        </w:rPr>
        <w:t>20</w:t>
      </w:r>
      <w:r>
        <w:rPr>
          <w:rFonts w:hint="eastAsia" w:ascii="黑体" w:hAnsi="黑体" w:eastAsia="黑体" w:cs="黑体"/>
          <w:szCs w:val="21"/>
        </w:rPr>
        <w:t>21年一季度各拍卖标的成交额增长变化情况      单位：万</w:t>
      </w:r>
      <w:r>
        <w:rPr>
          <w:rFonts w:hint="eastAsia" w:ascii="黑体" w:hAnsi="黑体" w:eastAsia="黑体" w:cs="黑体"/>
          <w:szCs w:val="21"/>
          <w:lang w:val="en-US" w:eastAsia="zh-CN"/>
        </w:rPr>
        <w:t>元</w:t>
      </w:r>
    </w:p>
    <w:tbl>
      <w:tblPr>
        <w:tblStyle w:val="7"/>
        <w:tblW w:w="9480" w:type="dxa"/>
        <w:jc w:val="center"/>
        <w:tblLayout w:type="autofit"/>
        <w:tblCellMar>
          <w:top w:w="0" w:type="dxa"/>
          <w:left w:w="108" w:type="dxa"/>
          <w:bottom w:w="0" w:type="dxa"/>
          <w:right w:w="108" w:type="dxa"/>
        </w:tblCellMar>
      </w:tblPr>
      <w:tblGrid>
        <w:gridCol w:w="720"/>
        <w:gridCol w:w="2280"/>
        <w:gridCol w:w="1840"/>
        <w:gridCol w:w="1280"/>
        <w:gridCol w:w="1840"/>
        <w:gridCol w:w="1520"/>
      </w:tblGrid>
      <w:tr>
        <w:tblPrEx>
          <w:tblCellMar>
            <w:top w:w="0" w:type="dxa"/>
            <w:left w:w="108" w:type="dxa"/>
            <w:bottom w:w="0" w:type="dxa"/>
            <w:right w:w="108" w:type="dxa"/>
          </w:tblCellMar>
        </w:tblPrEx>
        <w:trPr>
          <w:trHeight w:val="270" w:hRule="atLeast"/>
          <w:jc w:val="center"/>
        </w:trPr>
        <w:tc>
          <w:tcPr>
            <w:tcW w:w="720"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序号</w:t>
            </w:r>
          </w:p>
        </w:tc>
        <w:tc>
          <w:tcPr>
            <w:tcW w:w="2280"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地区</w:t>
            </w:r>
          </w:p>
        </w:tc>
        <w:tc>
          <w:tcPr>
            <w:tcW w:w="1840"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本期值</w:t>
            </w:r>
          </w:p>
        </w:tc>
        <w:tc>
          <w:tcPr>
            <w:tcW w:w="1280"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比值(%)</w:t>
            </w:r>
          </w:p>
        </w:tc>
        <w:tc>
          <w:tcPr>
            <w:tcW w:w="3360" w:type="dxa"/>
            <w:gridSpan w:val="2"/>
            <w:tcBorders>
              <w:top w:val="single" w:color="auto" w:sz="4" w:space="0"/>
              <w:left w:val="nil"/>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同比增长</w:t>
            </w:r>
          </w:p>
        </w:tc>
      </w:tr>
      <w:tr>
        <w:tblPrEx>
          <w:tblCellMar>
            <w:top w:w="0" w:type="dxa"/>
            <w:left w:w="108" w:type="dxa"/>
            <w:bottom w:w="0" w:type="dxa"/>
            <w:right w:w="108" w:type="dxa"/>
          </w:tblCellMar>
        </w:tblPrEx>
        <w:trPr>
          <w:trHeight w:val="270" w:hRule="atLeast"/>
          <w:jc w:val="center"/>
        </w:trPr>
        <w:tc>
          <w:tcPr>
            <w:tcW w:w="72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18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12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1840" w:type="dxa"/>
            <w:tcBorders>
              <w:top w:val="nil"/>
              <w:left w:val="nil"/>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去年同期值</w:t>
            </w:r>
          </w:p>
        </w:tc>
        <w:tc>
          <w:tcPr>
            <w:tcW w:w="1520" w:type="dxa"/>
            <w:tcBorders>
              <w:top w:val="nil"/>
              <w:left w:val="nil"/>
              <w:bottom w:val="single" w:color="auto" w:sz="4" w:space="0"/>
              <w:right w:val="single" w:color="auto" w:sz="4" w:space="0"/>
            </w:tcBorders>
            <w:shd w:val="clear" w:color="000000" w:fill="E4E8E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增长率(%)</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合计</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15300178.36</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100</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9004892.152</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69.91</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房地产</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2679751.352</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17.51</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1610731.164</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66.37</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土地使用权</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7866513.355</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51.41</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5577600.13</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41.04</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机动车</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689927.0156</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4.51</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184852.5777</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273.23</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农副产品</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56397.7107</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0.37</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35393.8069</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59.34</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股权、债权、产权</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1060108.492</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6.93</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540320.2722</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96.2</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无形资产</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637278.9023</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4.17</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413047.6603</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54.29</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8</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文物艺术品</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120234.3289</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0.79</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25913.9516</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363.98</w:t>
            </w:r>
          </w:p>
        </w:tc>
      </w:tr>
      <w:tr>
        <w:tblPrEx>
          <w:tblCellMar>
            <w:top w:w="0" w:type="dxa"/>
            <w:left w:w="108" w:type="dxa"/>
            <w:bottom w:w="0" w:type="dxa"/>
            <w:right w:w="108" w:type="dxa"/>
          </w:tblCellMar>
        </w:tblPrEx>
        <w:trPr>
          <w:trHeight w:val="270" w:hRule="atLeast"/>
          <w:jc w:val="center"/>
        </w:trPr>
        <w:tc>
          <w:tcPr>
            <w:tcW w:w="72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w:t>
            </w:r>
          </w:p>
        </w:tc>
        <w:tc>
          <w:tcPr>
            <w:tcW w:w="2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其他</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2189643.199</w:t>
            </w:r>
          </w:p>
        </w:tc>
        <w:tc>
          <w:tcPr>
            <w:tcW w:w="128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14.31</w:t>
            </w:r>
          </w:p>
        </w:tc>
        <w:tc>
          <w:tcPr>
            <w:tcW w:w="184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617032.5899</w:t>
            </w:r>
          </w:p>
        </w:tc>
        <w:tc>
          <w:tcPr>
            <w:tcW w:w="1520"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254.87</w:t>
            </w:r>
          </w:p>
        </w:tc>
      </w:tr>
    </w:tbl>
    <w:p>
      <w:pPr>
        <w:jc w:val="left"/>
        <w:rPr>
          <w:rFonts w:hint="eastAsia" w:ascii="仿宋" w:hAnsi="仿宋" w:eastAsia="仿宋"/>
          <w:sz w:val="28"/>
          <w:szCs w:val="28"/>
        </w:rPr>
      </w:pP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2、房产、土地使用权奠定了平稳增长的基础</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受诸多普涨因素的影响，一季度，房地产、土地使用权拍卖业务分别增长了66.37%、41.04%和59.34%，均低于行业一季度的综合增幅。从两者的合计成交额占比（68.92%）及佣金收入占比（36.44%）角度来看，两者作为行业倚重的传统拍卖业务，分别承载着全行业三分之二以上的业务量和三分之一以上的业务收入，正是其平稳的增长奠定了一季度行业大幅拉升的基础。这与当前社会投资渠道、投资方向、社会营商环境深入治理及全国经济向好等大趋势是正相关的。</w:t>
      </w:r>
    </w:p>
    <w:p>
      <w:pPr>
        <w:spacing w:before="156" w:beforeLines="50"/>
        <w:ind w:firstLine="560" w:firstLineChars="200"/>
        <w:jc w:val="left"/>
        <w:rPr>
          <w:rFonts w:hint="eastAsia" w:ascii="宋体" w:hAnsi="宋体" w:eastAsia="宋体" w:cs="宋体"/>
          <w:sz w:val="28"/>
          <w:szCs w:val="28"/>
        </w:rPr>
      </w:pPr>
      <w:r>
        <w:rPr>
          <w:rFonts w:hint="eastAsia" w:ascii="宋体" w:hAnsi="宋体" w:eastAsia="宋体" w:cs="宋体"/>
          <w:sz w:val="28"/>
          <w:szCs w:val="28"/>
        </w:rPr>
        <w:t>3、机动车、股权债权及其他类标的等新兴业务表现突出</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一季度，机动车、股权债权及其他类标的拍卖成交额同比增长幅度较大，快速拉高趋势明显。</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机动车和股权债权等新兴业务的成交情况出现大幅增长的原因：第一，受后疫情时代市场加速增长等大背景的影响；第二，此类新业务市场份额总体规模和比重较小，稍有提升就会形成较显著的增长；第三，市场集中度高、大型实体强力带动作用因素影响。</w:t>
      </w:r>
    </w:p>
    <w:p>
      <w:pPr>
        <w:ind w:firstLine="562" w:firstLineChars="200"/>
        <w:jc w:val="left"/>
        <w:rPr>
          <w:rFonts w:hint="eastAsia" w:ascii="宋体" w:hAnsi="宋体" w:eastAsia="宋体" w:cs="宋体"/>
          <w:b/>
          <w:sz w:val="28"/>
          <w:szCs w:val="28"/>
        </w:rPr>
      </w:pPr>
      <w:r>
        <w:rPr>
          <w:rFonts w:hint="eastAsia" w:ascii="宋体" w:hAnsi="宋体" w:eastAsia="宋体" w:cs="宋体"/>
          <w:b/>
          <w:sz w:val="28"/>
          <w:szCs w:val="28"/>
        </w:rPr>
        <w:t>（二）委托来源结构特点</w:t>
      </w:r>
    </w:p>
    <w:p>
      <w:pPr>
        <w:ind w:left="567"/>
        <w:jc w:val="left"/>
        <w:rPr>
          <w:rFonts w:hint="eastAsia" w:ascii="宋体" w:hAnsi="宋体" w:eastAsia="宋体" w:cs="宋体"/>
          <w:sz w:val="28"/>
          <w:szCs w:val="28"/>
        </w:rPr>
      </w:pPr>
      <w:r>
        <w:rPr>
          <w:rFonts w:hint="eastAsia" w:ascii="宋体" w:hAnsi="宋体" w:eastAsia="宋体" w:cs="宋体"/>
          <w:sz w:val="28"/>
          <w:szCs w:val="28"/>
        </w:rPr>
        <w:t>1、委托业务基本格局稳中有变</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季度，全国拍卖业务委托来源结构仍然较为稳定，在各委托方委托项目均呈现同比大幅度增长的基础上（见图2、表2），政府部门和法院委托成交额合计1031.93亿元，在总委托结构中份额占比67.44%，但比去年一季度下降了近10个百分点，两大委托方的委托量占比虽然下降，但业务绝对量同比仍然大幅度增长，即业务主体结构虽然稳定，但随着其他业务的增长，其主体地位出现下滑趋势。金融机构、破产清算组、其他机构和个人委托在成交额大幅增长的基础上，在各主要委托占比中有所提升，从另一个侧面反映了行业经营结构似正在发生悄无声息的改变。</w:t>
      </w:r>
    </w:p>
    <w:p>
      <w:pPr>
        <w:jc w:val="center"/>
        <w:rPr>
          <w:rFonts w:hint="eastAsia" w:ascii="宋体" w:hAnsi="宋体" w:eastAsia="宋体" w:cs="宋体"/>
          <w:szCs w:val="21"/>
        </w:rPr>
      </w:pPr>
      <w:r>
        <w:rPr>
          <w:rFonts w:hint="eastAsia" w:ascii="宋体" w:hAnsi="宋体" w:eastAsia="宋体" w:cs="宋体"/>
          <w:szCs w:val="21"/>
        </w:rPr>
        <w:t>图2    2021年一季度主要委托业务来源占比情况</w:t>
      </w:r>
    </w:p>
    <w:p>
      <w:pPr>
        <w:ind w:firstLine="420" w:firstLineChars="200"/>
        <w:jc w:val="left"/>
        <w:rPr>
          <w:rFonts w:hint="eastAsia" w:ascii="宋体" w:hAnsi="宋体" w:eastAsia="宋体" w:cs="宋体"/>
        </w:rPr>
      </w:pPr>
    </w:p>
    <w:p>
      <w:pPr>
        <w:jc w:val="center"/>
        <w:rPr>
          <w:rFonts w:hint="eastAsia" w:ascii="宋体" w:hAnsi="宋体" w:cs="黑体"/>
          <w:sz w:val="28"/>
          <w:szCs w:val="28"/>
        </w:rPr>
      </w:pPr>
      <w:r>
        <w:object>
          <v:shape id="_x0000_i1026" o:spt="75" type="#_x0000_t75" style="height:242.3pt;width:415.45pt;" o:ole="t" filled="f" o:preferrelative="t" stroked="f" coordsize="21600,21600">
            <v:path/>
            <v:fill on="f" alignshape="1" focussize="0,0"/>
            <v:stroke on="f"/>
            <v:imagedata r:id="rId9" grayscale="f" bilevel="f" o:title=""/>
            <o:lock v:ext="edit" aspectratio="f"/>
            <w10:wrap type="none"/>
            <w10:anchorlock/>
          </v:shape>
          <o:OLEObject Type="Embed" ProgID="Excel.Chart.8" ShapeID="_x0000_i1026" DrawAspect="Content" ObjectID="_1468075726" r:id="rId8">
            <o:LockedField>false</o:LockedField>
          </o:OLEObject>
        </w:object>
      </w:r>
    </w:p>
    <w:p>
      <w:pPr>
        <w:spacing w:before="156" w:beforeLines="50"/>
        <w:ind w:left="567"/>
        <w:jc w:val="left"/>
        <w:rPr>
          <w:rFonts w:hint="eastAsia" w:ascii="宋体" w:hAnsi="宋体" w:eastAsia="宋体" w:cs="宋体"/>
          <w:sz w:val="28"/>
          <w:szCs w:val="28"/>
        </w:rPr>
      </w:pPr>
      <w:r>
        <w:rPr>
          <w:rFonts w:hint="eastAsia" w:ascii="宋体" w:hAnsi="宋体" w:eastAsia="宋体" w:cs="宋体"/>
          <w:sz w:val="28"/>
          <w:szCs w:val="28"/>
        </w:rPr>
        <w:t>2、金融机构、破产清算组、其他机构和个人委托业务出现较大增幅</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季度，各委托方委托业务成交额均呈大幅增长态势。其中，法院委托拍卖成交95.03亿元，同比增长57.79%；政府部门委托拍卖成交936.90亿元，同比增长49.22%；金融机构委托拍卖成交81.45亿元，同比增长110.34%；破产清算组委托拍卖成交30.69亿元，同比增长168.85%；其他机构委托拍卖成交346.45亿元，同比增长131.84%；个人委托拍卖成交39.49亿元，同比增长207.73%。在政府部门委托拍卖成交中，土地使用权、房产是其委托拍卖的中的重大资产类型，合计占比政府部门委托的90%以上。</w:t>
      </w:r>
    </w:p>
    <w:p>
      <w:pPr>
        <w:pStyle w:val="6"/>
        <w:spacing w:line="240" w:lineRule="atLeast"/>
        <w:ind w:right="1260"/>
        <w:jc w:val="center"/>
        <w:rPr>
          <w:rFonts w:ascii="黑体" w:hAnsi="黑体" w:eastAsia="黑体"/>
          <w:sz w:val="21"/>
          <w:szCs w:val="21"/>
        </w:rPr>
      </w:pPr>
      <w:r>
        <w:rPr>
          <w:rFonts w:hint="eastAsia" w:ascii="黑体" w:hAnsi="黑体" w:eastAsia="黑体"/>
          <w:sz w:val="21"/>
          <w:szCs w:val="21"/>
        </w:rPr>
        <w:t xml:space="preserve">      表2  2021年一季度拍卖行业委托来源结构及同比增长率  单位：万元</w:t>
      </w:r>
    </w:p>
    <w:tbl>
      <w:tblPr>
        <w:tblStyle w:val="7"/>
        <w:tblW w:w="9356" w:type="dxa"/>
        <w:tblInd w:w="-272" w:type="dxa"/>
        <w:tblLayout w:type="autofit"/>
        <w:tblCellMar>
          <w:top w:w="0" w:type="dxa"/>
          <w:left w:w="108" w:type="dxa"/>
          <w:bottom w:w="0" w:type="dxa"/>
          <w:right w:w="108" w:type="dxa"/>
        </w:tblCellMar>
      </w:tblPr>
      <w:tblGrid>
        <w:gridCol w:w="709"/>
        <w:gridCol w:w="2109"/>
        <w:gridCol w:w="2002"/>
        <w:gridCol w:w="1116"/>
        <w:gridCol w:w="2003"/>
        <w:gridCol w:w="1417"/>
      </w:tblGrid>
      <w:tr>
        <w:tblPrEx>
          <w:tblCellMar>
            <w:top w:w="0" w:type="dxa"/>
            <w:left w:w="108" w:type="dxa"/>
            <w:bottom w:w="0" w:type="dxa"/>
            <w:right w:w="108" w:type="dxa"/>
          </w:tblCellMar>
        </w:tblPrEx>
        <w:trPr>
          <w:trHeight w:val="270"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序号</w:t>
            </w:r>
          </w:p>
        </w:tc>
        <w:tc>
          <w:tcPr>
            <w:tcW w:w="2109" w:type="dxa"/>
            <w:vMerge w:val="restart"/>
            <w:tcBorders>
              <w:top w:val="single" w:color="auto" w:sz="4" w:space="0"/>
              <w:left w:val="single" w:color="auto" w:sz="4" w:space="0"/>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地区</w:t>
            </w:r>
          </w:p>
        </w:tc>
        <w:tc>
          <w:tcPr>
            <w:tcW w:w="2002" w:type="dxa"/>
            <w:vMerge w:val="restart"/>
            <w:tcBorders>
              <w:top w:val="single" w:color="auto" w:sz="4" w:space="0"/>
              <w:left w:val="single" w:color="auto" w:sz="4" w:space="0"/>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本期值</w:t>
            </w:r>
          </w:p>
        </w:tc>
        <w:tc>
          <w:tcPr>
            <w:tcW w:w="1116" w:type="dxa"/>
            <w:vMerge w:val="restart"/>
            <w:tcBorders>
              <w:top w:val="single" w:color="auto" w:sz="4" w:space="0"/>
              <w:left w:val="single" w:color="auto" w:sz="4" w:space="0"/>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比值(%)</w:t>
            </w:r>
          </w:p>
        </w:tc>
        <w:tc>
          <w:tcPr>
            <w:tcW w:w="3420" w:type="dxa"/>
            <w:gridSpan w:val="2"/>
            <w:tcBorders>
              <w:top w:val="single" w:color="auto" w:sz="4" w:space="0"/>
              <w:left w:val="nil"/>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同比增长</w:t>
            </w:r>
          </w:p>
        </w:tc>
      </w:tr>
      <w:tr>
        <w:tblPrEx>
          <w:tblCellMar>
            <w:top w:w="0" w:type="dxa"/>
            <w:left w:w="108" w:type="dxa"/>
            <w:bottom w:w="0" w:type="dxa"/>
            <w:right w:w="108" w:type="dxa"/>
          </w:tblCellMar>
        </w:tblPrEx>
        <w:trPr>
          <w:trHeight w:val="270" w:hRule="atLeast"/>
        </w:trPr>
        <w:tc>
          <w:tcPr>
            <w:tcW w:w="70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210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200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111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color w:val="000000"/>
                <w:kern w:val="0"/>
                <w:sz w:val="22"/>
              </w:rPr>
            </w:pPr>
          </w:p>
        </w:tc>
        <w:tc>
          <w:tcPr>
            <w:tcW w:w="2003" w:type="dxa"/>
            <w:tcBorders>
              <w:top w:val="nil"/>
              <w:left w:val="nil"/>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去年同期值</w:t>
            </w:r>
          </w:p>
        </w:tc>
        <w:tc>
          <w:tcPr>
            <w:tcW w:w="1417" w:type="dxa"/>
            <w:tcBorders>
              <w:top w:val="nil"/>
              <w:left w:val="nil"/>
              <w:bottom w:val="single" w:color="auto" w:sz="4" w:space="0"/>
              <w:right w:val="single" w:color="auto" w:sz="4" w:space="0"/>
            </w:tcBorders>
            <w:shd w:val="clear" w:color="000000" w:fill="D8D8D8"/>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增长率(%)</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合计</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15300178.36</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100</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9004892.152</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69.91</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法院委托</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950303.5821</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6.21</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602262.3203</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57.79</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政府部门委托</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9369005.498</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61.23</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6278571.094</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49.22</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金融资产机构委托</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814483.2922</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5.32</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387225.851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110.34</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破产清算组委托</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306931.9969</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2.01</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114164.8602</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168.85</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其他机构委托</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3464541.089</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22.64</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1494336.342</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131.84</w:t>
            </w:r>
          </w:p>
        </w:tc>
      </w:tr>
      <w:tr>
        <w:tblPrEx>
          <w:tblCellMar>
            <w:top w:w="0" w:type="dxa"/>
            <w:left w:w="108" w:type="dxa"/>
            <w:bottom w:w="0" w:type="dxa"/>
            <w:right w:w="108" w:type="dxa"/>
          </w:tblCellMar>
        </w:tblPrEx>
        <w:trPr>
          <w:trHeight w:val="270" w:hRule="atLeast"/>
        </w:trPr>
        <w:tc>
          <w:tcPr>
            <w:tcW w:w="709"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w:t>
            </w:r>
          </w:p>
        </w:tc>
        <w:tc>
          <w:tcPr>
            <w:tcW w:w="2109"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个人委托</w:t>
            </w:r>
          </w:p>
        </w:tc>
        <w:tc>
          <w:tcPr>
            <w:tcW w:w="2002"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394912.8969</w:t>
            </w:r>
          </w:p>
        </w:tc>
        <w:tc>
          <w:tcPr>
            <w:tcW w:w="111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2.58</w:t>
            </w:r>
          </w:p>
        </w:tc>
        <w:tc>
          <w:tcPr>
            <w:tcW w:w="2003"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128331.6848</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207.73</w:t>
            </w:r>
          </w:p>
        </w:tc>
      </w:tr>
    </w:tbl>
    <w:p>
      <w:pPr>
        <w:ind w:firstLine="420" w:firstLineChars="150"/>
        <w:jc w:val="left"/>
        <w:rPr>
          <w:rFonts w:ascii="仿宋" w:hAnsi="仿宋" w:eastAsia="仿宋"/>
          <w:sz w:val="28"/>
          <w:szCs w:val="28"/>
        </w:rPr>
      </w:pPr>
    </w:p>
    <w:p>
      <w:pPr>
        <w:ind w:firstLine="422" w:firstLineChars="150"/>
        <w:jc w:val="left"/>
        <w:rPr>
          <w:rFonts w:hint="eastAsia" w:ascii="宋体" w:hAnsi="宋体" w:eastAsia="宋体" w:cs="宋体"/>
          <w:b/>
          <w:sz w:val="28"/>
          <w:szCs w:val="28"/>
        </w:rPr>
      </w:pPr>
      <w:r>
        <w:rPr>
          <w:rFonts w:hint="eastAsia" w:ascii="宋体" w:hAnsi="宋体" w:eastAsia="宋体" w:cs="宋体"/>
          <w:b/>
          <w:sz w:val="28"/>
          <w:szCs w:val="28"/>
        </w:rPr>
        <w:t>（三）区域分布特点</w:t>
      </w:r>
    </w:p>
    <w:p>
      <w:pPr>
        <w:pStyle w:val="13"/>
        <w:ind w:firstLine="560"/>
        <w:rPr>
          <w:rFonts w:hint="eastAsia" w:ascii="宋体" w:hAnsi="宋体" w:eastAsia="宋体" w:cs="宋体"/>
          <w:bCs/>
          <w:sz w:val="28"/>
          <w:szCs w:val="28"/>
        </w:rPr>
      </w:pPr>
      <w:r>
        <w:rPr>
          <w:rFonts w:hint="eastAsia" w:ascii="宋体" w:hAnsi="宋体" w:eastAsia="宋体" w:cs="宋体"/>
          <w:sz w:val="28"/>
          <w:szCs w:val="28"/>
        </w:rPr>
        <w:t>一季度，从拍卖成交的区域分布看，河北、安徽、福建、四川、山东、上海和浙江七省市</w:t>
      </w:r>
      <w:r>
        <w:rPr>
          <w:rFonts w:hint="eastAsia" w:ascii="宋体" w:hAnsi="宋体" w:eastAsia="宋体" w:cs="宋体"/>
          <w:bCs/>
          <w:sz w:val="28"/>
          <w:szCs w:val="28"/>
        </w:rPr>
        <w:t>拍卖成交额仍然位居全国均超过100亿元，其中河北省成交额超过二百亿，除福建省外都出现大幅度增长。上述七省市一季度合计成交额1045.69亿元，在全</w:t>
      </w:r>
      <w:r>
        <w:rPr>
          <w:rFonts w:hint="eastAsia" w:ascii="宋体" w:hAnsi="宋体" w:eastAsia="宋体" w:cs="宋体"/>
          <w:sz w:val="28"/>
          <w:szCs w:val="28"/>
        </w:rPr>
        <w:t>国总成交额</w:t>
      </w:r>
      <w:r>
        <w:rPr>
          <w:rFonts w:hint="eastAsia" w:ascii="宋体" w:hAnsi="宋体" w:eastAsia="宋体" w:cs="宋体"/>
          <w:bCs/>
          <w:sz w:val="28"/>
          <w:szCs w:val="28"/>
        </w:rPr>
        <w:t>中占比68.34%，成交额远高于去年一季度，占比行业总成交额的三分之二强。</w:t>
      </w:r>
    </w:p>
    <w:p>
      <w:pPr>
        <w:pStyle w:val="13"/>
        <w:ind w:firstLine="560"/>
        <w:rPr>
          <w:rFonts w:hint="eastAsia" w:ascii="宋体" w:hAnsi="宋体" w:eastAsia="宋体" w:cs="宋体"/>
          <w:sz w:val="28"/>
          <w:szCs w:val="28"/>
        </w:rPr>
      </w:pPr>
      <w:r>
        <w:rPr>
          <w:rFonts w:hint="eastAsia" w:ascii="宋体" w:hAnsi="宋体" w:eastAsia="宋体" w:cs="宋体"/>
          <w:bCs/>
          <w:sz w:val="28"/>
          <w:szCs w:val="28"/>
        </w:rPr>
        <w:t>今年一季度，</w:t>
      </w:r>
      <w:r>
        <w:rPr>
          <w:rFonts w:hint="eastAsia" w:ascii="宋体" w:hAnsi="宋体" w:eastAsia="宋体" w:cs="宋体"/>
          <w:sz w:val="28"/>
          <w:szCs w:val="28"/>
        </w:rPr>
        <w:t>河北省成交额280.21亿元，较去年一季度成交额增长38.75%，在全国总成交额中占比达18.31%，蝉联全国成交额榜首。河北省的土地使用权拍卖继续成为拉高全省一季度总成交额的关键因素，其中仅土地一项成交额就达225.86亿元，同比增幅19.21%（见表3）。</w:t>
      </w:r>
    </w:p>
    <w:p>
      <w:pPr>
        <w:pStyle w:val="13"/>
        <w:ind w:firstLine="560"/>
        <w:rPr>
          <w:rFonts w:hint="eastAsia" w:ascii="宋体" w:hAnsi="宋体" w:eastAsia="宋体" w:cs="宋体"/>
          <w:sz w:val="28"/>
          <w:szCs w:val="28"/>
        </w:rPr>
      </w:pPr>
      <w:r>
        <w:rPr>
          <w:rFonts w:hint="eastAsia" w:ascii="宋体" w:hAnsi="宋体" w:eastAsia="宋体" w:cs="宋体"/>
          <w:sz w:val="28"/>
          <w:szCs w:val="28"/>
        </w:rPr>
        <w:t>除上述七省外，成交额在40亿元-70亿元（不含）区间的有4个省（区、市），分别是：湖北、甘肃、重庆和江苏省。</w:t>
      </w:r>
    </w:p>
    <w:p>
      <w:pPr>
        <w:pStyle w:val="13"/>
        <w:ind w:firstLine="560"/>
        <w:rPr>
          <w:rFonts w:hint="eastAsia" w:ascii="宋体" w:hAnsi="宋体" w:eastAsia="宋体" w:cs="宋体"/>
          <w:sz w:val="28"/>
          <w:szCs w:val="28"/>
        </w:rPr>
      </w:pPr>
      <w:r>
        <w:rPr>
          <w:rFonts w:hint="eastAsia" w:ascii="宋体" w:hAnsi="宋体" w:eastAsia="宋体" w:cs="宋体"/>
          <w:sz w:val="28"/>
          <w:szCs w:val="28"/>
        </w:rPr>
        <w:t>成交额在20亿元至40亿元（不含）区间的有5个省（市），分别是：广东、广西、辽宁、云南和河南省。</w:t>
      </w:r>
    </w:p>
    <w:p>
      <w:pPr>
        <w:pStyle w:val="13"/>
        <w:ind w:firstLine="560"/>
        <w:rPr>
          <w:rFonts w:hint="eastAsia" w:ascii="宋体" w:hAnsi="宋体" w:eastAsia="宋体" w:cs="宋体"/>
          <w:sz w:val="28"/>
          <w:szCs w:val="28"/>
        </w:rPr>
      </w:pPr>
      <w:r>
        <w:rPr>
          <w:rFonts w:hint="eastAsia" w:ascii="宋体" w:hAnsi="宋体" w:eastAsia="宋体" w:cs="宋体"/>
          <w:sz w:val="28"/>
          <w:szCs w:val="28"/>
        </w:rPr>
        <w:t>成交额在10亿元-20亿元（不含）的有7个省（区、市），分别是：海南、陕西、新疆、北京、湖南、江西和内蒙古。</w:t>
      </w:r>
    </w:p>
    <w:p>
      <w:pPr>
        <w:pStyle w:val="13"/>
        <w:ind w:firstLine="560"/>
        <w:rPr>
          <w:rFonts w:hint="eastAsia" w:ascii="宋体" w:hAnsi="宋体" w:eastAsia="宋体" w:cs="宋体"/>
          <w:sz w:val="28"/>
          <w:szCs w:val="28"/>
        </w:rPr>
      </w:pPr>
      <w:r>
        <w:rPr>
          <w:rFonts w:hint="eastAsia" w:ascii="宋体" w:hAnsi="宋体" w:eastAsia="宋体" w:cs="宋体"/>
          <w:sz w:val="28"/>
          <w:szCs w:val="28"/>
        </w:rPr>
        <w:t xml:space="preserve">成交额在1亿元-5亿区间的有7个省（区、市），分别是：贵州、宁夏、黑龙江、吉林、山西、青海和天津； </w:t>
      </w:r>
    </w:p>
    <w:p>
      <w:pPr>
        <w:pStyle w:val="13"/>
        <w:ind w:firstLine="560"/>
        <w:rPr>
          <w:rFonts w:hint="eastAsia" w:ascii="宋体" w:hAnsi="宋体" w:eastAsia="宋体" w:cs="宋体"/>
          <w:sz w:val="28"/>
          <w:szCs w:val="28"/>
        </w:rPr>
      </w:pPr>
      <w:r>
        <w:rPr>
          <w:rFonts w:hint="eastAsia" w:ascii="宋体" w:hAnsi="宋体" w:eastAsia="宋体" w:cs="宋体"/>
          <w:sz w:val="28"/>
          <w:szCs w:val="28"/>
        </w:rPr>
        <w:t>成交额不足1亿元的有2个省级单位，即：西藏和新疆兵团。</w:t>
      </w:r>
    </w:p>
    <w:p>
      <w:pPr>
        <w:pStyle w:val="13"/>
        <w:ind w:firstLine="560"/>
        <w:rPr>
          <w:rFonts w:ascii="仿宋" w:hAnsi="仿宋" w:eastAsia="仿宋"/>
          <w:sz w:val="28"/>
          <w:szCs w:val="28"/>
        </w:rPr>
      </w:pPr>
      <w:r>
        <w:rPr>
          <w:rFonts w:hint="eastAsia" w:ascii="宋体" w:hAnsi="宋体" w:eastAsia="宋体" w:cs="宋体"/>
          <w:sz w:val="28"/>
          <w:szCs w:val="28"/>
        </w:rPr>
        <w:t>根据各省级行政区域的拍卖成交额高低排序，一季度行业发展布局仍然与宏观经济发展的地域分布呈现高度的一致性，即业务活跃程度仍然呈现出从东部向中、西部以及从南向北递减的整体趋势；主要拍卖经营活动围绕在长三角、珠三角等大城市经济圈周围发生。</w:t>
      </w:r>
      <w:r>
        <w:rPr>
          <w:rFonts w:hint="eastAsia" w:ascii="仿宋" w:hAnsi="仿宋" w:eastAsia="仿宋"/>
          <w:sz w:val="28"/>
          <w:szCs w:val="28"/>
        </w:rPr>
        <w:t xml:space="preserve"> </w:t>
      </w:r>
    </w:p>
    <w:p>
      <w:pPr>
        <w:ind w:left="-4" w:leftChars="-2" w:right="840" w:firstLine="210" w:firstLineChars="100"/>
        <w:jc w:val="center"/>
        <w:rPr>
          <w:rFonts w:hint="eastAsia" w:ascii="黑体" w:hAnsi="黑体" w:eastAsia="黑体"/>
          <w:szCs w:val="21"/>
        </w:rPr>
      </w:pPr>
      <w:r>
        <w:rPr>
          <w:rFonts w:hint="eastAsia" w:ascii="黑体" w:hAnsi="黑体" w:eastAsia="黑体"/>
          <w:szCs w:val="21"/>
        </w:rPr>
        <w:t>表3  2021年一季度大陆各省级行政区拍卖成交情况     单位：万元</w:t>
      </w:r>
    </w:p>
    <w:p>
      <w:pPr>
        <w:ind w:left="-4" w:leftChars="-2" w:right="840" w:firstLine="210" w:firstLineChars="100"/>
        <w:jc w:val="center"/>
        <w:rPr>
          <w:rFonts w:ascii="黑体" w:hAnsi="黑体" w:eastAsia="黑体"/>
          <w:szCs w:val="21"/>
        </w:rPr>
      </w:pPr>
    </w:p>
    <w:tbl>
      <w:tblPr>
        <w:tblStyle w:val="7"/>
        <w:tblW w:w="9229" w:type="dxa"/>
        <w:tblInd w:w="93" w:type="dxa"/>
        <w:tblLayout w:type="autofit"/>
        <w:tblCellMar>
          <w:top w:w="0" w:type="dxa"/>
          <w:left w:w="108" w:type="dxa"/>
          <w:bottom w:w="0" w:type="dxa"/>
          <w:right w:w="108" w:type="dxa"/>
        </w:tblCellMar>
      </w:tblPr>
      <w:tblGrid>
        <w:gridCol w:w="866"/>
        <w:gridCol w:w="1701"/>
        <w:gridCol w:w="1984"/>
        <w:gridCol w:w="1276"/>
        <w:gridCol w:w="1985"/>
        <w:gridCol w:w="1417"/>
      </w:tblGrid>
      <w:tr>
        <w:tblPrEx>
          <w:tblCellMar>
            <w:top w:w="0" w:type="dxa"/>
            <w:left w:w="108" w:type="dxa"/>
            <w:bottom w:w="0" w:type="dxa"/>
            <w:right w:w="108" w:type="dxa"/>
          </w:tblCellMar>
        </w:tblPrEx>
        <w:trPr>
          <w:trHeight w:val="270" w:hRule="atLeast"/>
        </w:trPr>
        <w:tc>
          <w:tcPr>
            <w:tcW w:w="866"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排 名</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地 区</w:t>
            </w:r>
          </w:p>
        </w:tc>
        <w:tc>
          <w:tcPr>
            <w:tcW w:w="1984"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本期值</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比值(%)</w:t>
            </w:r>
          </w:p>
        </w:tc>
        <w:tc>
          <w:tcPr>
            <w:tcW w:w="3402" w:type="dxa"/>
            <w:gridSpan w:val="2"/>
            <w:tcBorders>
              <w:top w:val="single" w:color="auto" w:sz="4" w:space="0"/>
              <w:left w:val="nil"/>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同比增长</w:t>
            </w:r>
          </w:p>
        </w:tc>
      </w:tr>
      <w:tr>
        <w:tblPrEx>
          <w:tblCellMar>
            <w:top w:w="0" w:type="dxa"/>
            <w:left w:w="108" w:type="dxa"/>
            <w:bottom w:w="0" w:type="dxa"/>
            <w:right w:w="108" w:type="dxa"/>
          </w:tblCellMar>
        </w:tblPrEx>
        <w:trPr>
          <w:trHeight w:val="270" w:hRule="atLeast"/>
        </w:trPr>
        <w:tc>
          <w:tcPr>
            <w:tcW w:w="86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b/>
                <w:bCs/>
                <w:color w:val="000000"/>
                <w:kern w:val="0"/>
                <w:sz w:val="22"/>
              </w:rPr>
            </w:pPr>
          </w:p>
        </w:tc>
        <w:tc>
          <w:tcPr>
            <w:tcW w:w="170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b/>
                <w:bCs/>
                <w:color w:val="000000"/>
                <w:kern w:val="0"/>
                <w:sz w:val="22"/>
              </w:rPr>
            </w:pPr>
          </w:p>
        </w:tc>
        <w:tc>
          <w:tcPr>
            <w:tcW w:w="198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b/>
                <w:bCs/>
                <w:color w:val="000000"/>
                <w:kern w:val="0"/>
                <w:sz w:val="22"/>
              </w:rPr>
            </w:pPr>
          </w:p>
        </w:tc>
        <w:tc>
          <w:tcPr>
            <w:tcW w:w="127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黑体" w:hAnsi="黑体" w:eastAsia="黑体" w:cs="宋体"/>
                <w:b/>
                <w:bCs/>
                <w:color w:val="000000"/>
                <w:kern w:val="0"/>
                <w:sz w:val="22"/>
              </w:rPr>
            </w:pPr>
          </w:p>
        </w:tc>
        <w:tc>
          <w:tcPr>
            <w:tcW w:w="1985" w:type="dxa"/>
            <w:tcBorders>
              <w:top w:val="nil"/>
              <w:left w:val="nil"/>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去年同期值</w:t>
            </w:r>
          </w:p>
        </w:tc>
        <w:tc>
          <w:tcPr>
            <w:tcW w:w="1417" w:type="dxa"/>
            <w:tcBorders>
              <w:top w:val="nil"/>
              <w:left w:val="nil"/>
              <w:bottom w:val="single" w:color="auto" w:sz="4" w:space="0"/>
              <w:right w:val="single" w:color="auto" w:sz="4" w:space="0"/>
            </w:tcBorders>
            <w:shd w:val="clear" w:color="000000" w:fill="E4E8EF"/>
            <w:noWrap w:val="0"/>
            <w:vAlign w:val="center"/>
          </w:tcPr>
          <w:p>
            <w:pPr>
              <w:widowControl/>
              <w:jc w:val="center"/>
              <w:rPr>
                <w:rFonts w:ascii="黑体" w:hAnsi="黑体" w:eastAsia="黑体" w:cs="宋体"/>
                <w:b/>
                <w:bCs/>
                <w:color w:val="000000"/>
                <w:kern w:val="0"/>
                <w:sz w:val="22"/>
              </w:rPr>
            </w:pPr>
            <w:r>
              <w:rPr>
                <w:rFonts w:hint="eastAsia" w:ascii="黑体" w:hAnsi="黑体" w:eastAsia="黑体" w:cs="宋体"/>
                <w:b/>
                <w:bCs/>
                <w:color w:val="000000"/>
                <w:kern w:val="0"/>
                <w:sz w:val="22"/>
              </w:rPr>
              <w:t>增长率(%)</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　</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全国</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15300178.36</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100</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9004892.152</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69.91</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河北省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2802103.459</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18.31</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2019604.105</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38.75</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安徽省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1890443.352</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12.36</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831257.4593</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127.42</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福建省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1311934.234</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8.57</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1598215.207</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-17.91</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四川省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1190110.964</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7.78</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553278.1833</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115.1</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山东省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1163765.018</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7.61</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434553.3371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167.81</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上海市</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1096542.508</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7.17</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754278.0667</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45.38</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浙江省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1002083.037</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6.55</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455246.7851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120.12</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8</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湖北省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664830.2822</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4.35</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271277.1197</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145.07</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w:t>
            </w:r>
          </w:p>
        </w:tc>
        <w:tc>
          <w:tcPr>
            <w:tcW w:w="1701" w:type="dxa"/>
            <w:tcBorders>
              <w:top w:val="nil"/>
              <w:left w:val="nil"/>
              <w:bottom w:val="single" w:color="auto" w:sz="4" w:space="0"/>
              <w:right w:val="single" w:color="auto" w:sz="4" w:space="0"/>
            </w:tcBorders>
            <w:shd w:val="clear" w:color="000000" w:fill="F1F5F7"/>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甘肃省</w:t>
            </w:r>
          </w:p>
        </w:tc>
        <w:tc>
          <w:tcPr>
            <w:tcW w:w="1984" w:type="dxa"/>
            <w:tcBorders>
              <w:top w:val="nil"/>
              <w:left w:val="nil"/>
              <w:bottom w:val="single" w:color="auto" w:sz="4" w:space="0"/>
              <w:right w:val="single" w:color="auto" w:sz="4" w:space="0"/>
            </w:tcBorders>
            <w:shd w:val="clear" w:color="000000" w:fill="F1F5F7"/>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563143.2332</w:t>
            </w:r>
          </w:p>
        </w:tc>
        <w:tc>
          <w:tcPr>
            <w:tcW w:w="1276" w:type="dxa"/>
            <w:tcBorders>
              <w:top w:val="nil"/>
              <w:left w:val="nil"/>
              <w:bottom w:val="single" w:color="auto" w:sz="4" w:space="0"/>
              <w:right w:val="single" w:color="auto" w:sz="4" w:space="0"/>
            </w:tcBorders>
            <w:shd w:val="clear" w:color="000000" w:fill="F1F5F7"/>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3.68</w:t>
            </w:r>
          </w:p>
        </w:tc>
        <w:tc>
          <w:tcPr>
            <w:tcW w:w="1985" w:type="dxa"/>
            <w:tcBorders>
              <w:top w:val="nil"/>
              <w:left w:val="nil"/>
              <w:bottom w:val="single" w:color="auto" w:sz="4" w:space="0"/>
              <w:right w:val="single" w:color="auto" w:sz="4" w:space="0"/>
            </w:tcBorders>
            <w:shd w:val="clear" w:color="000000" w:fill="F1F5F7"/>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248155.7286</w:t>
            </w:r>
          </w:p>
        </w:tc>
        <w:tc>
          <w:tcPr>
            <w:tcW w:w="1417" w:type="dxa"/>
            <w:tcBorders>
              <w:top w:val="nil"/>
              <w:left w:val="nil"/>
              <w:bottom w:val="single" w:color="auto" w:sz="4" w:space="0"/>
              <w:right w:val="single" w:color="auto" w:sz="4" w:space="0"/>
            </w:tcBorders>
            <w:shd w:val="clear" w:color="000000" w:fill="F1F5F7"/>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126.93</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重庆市</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470575.3346</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3.08</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59796.4519</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686.96</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江苏省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441789.0449</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2.89</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153841.9368</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187.17</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广东省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397721.2741</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2.6</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122172.821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225.54</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13</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广西区自治区</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278988.9384</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1.82</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124702.3648</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123.72</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14</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辽宁省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246869.279</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1.61</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123254.7849</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100.29</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云南省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234962.4475</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1.54</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269860.4651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-12.93</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河南省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216856.2112</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1.42</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136193.0593</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59.23</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17</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海南省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193320.6787</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1.26</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132781.1181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45.59</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陕西省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174206.7016</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1.14</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89433.0242</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94.79</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19</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新疆区自治区</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173743.803</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1.14</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43257.7174</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301.65</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20</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北京市</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172297.5742</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1.13</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61208.8927</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181.49</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21</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湖南省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157804.7891</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1.03</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157875.8931</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-0.05</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22</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江西省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141222.1984</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0.92</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45642.6905</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209.41</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23</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内蒙古</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109767.6029</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0.72</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132214.1594</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-16.98</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24</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贵州省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45743.8224</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0.3</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58478.5761</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-21.78</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25</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宁夏自治区</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35167.1698</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0.23</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10314.7091</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240.94</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26</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黑龙江</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32021.1403</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0.21</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20951.8319</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52.83</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27</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吉林省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31602.293</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0.21</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10737.1961</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194.33</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28</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山西省</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21822.2598</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0.14</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7395.2569</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195.08</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29</w:t>
            </w:r>
          </w:p>
        </w:tc>
        <w:tc>
          <w:tcPr>
            <w:tcW w:w="1701"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青海省</w:t>
            </w:r>
          </w:p>
        </w:tc>
        <w:tc>
          <w:tcPr>
            <w:tcW w:w="1984"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18036.9613</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0.12</w:t>
            </w:r>
          </w:p>
        </w:tc>
        <w:tc>
          <w:tcPr>
            <w:tcW w:w="1985"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5341.002</w:t>
            </w:r>
          </w:p>
        </w:tc>
        <w:tc>
          <w:tcPr>
            <w:tcW w:w="1417" w:type="dxa"/>
            <w:tcBorders>
              <w:top w:val="nil"/>
              <w:left w:val="nil"/>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237.71</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30</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天津市</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16442.4618</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0.11</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2678.9538</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513.76</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31</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新疆兵团</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3940.3024</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0.03</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780.53</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404.82</w:t>
            </w:r>
          </w:p>
        </w:tc>
      </w:tr>
      <w:tr>
        <w:tblPrEx>
          <w:tblCellMar>
            <w:top w:w="0" w:type="dxa"/>
            <w:left w:w="108" w:type="dxa"/>
            <w:bottom w:w="0" w:type="dxa"/>
            <w:right w:w="108" w:type="dxa"/>
          </w:tblCellMar>
        </w:tblPrEx>
        <w:trPr>
          <w:trHeight w:val="270" w:hRule="atLeast"/>
        </w:trPr>
        <w:tc>
          <w:tcPr>
            <w:tcW w:w="866" w:type="dxa"/>
            <w:tcBorders>
              <w:top w:val="nil"/>
              <w:left w:val="single" w:color="auto" w:sz="4" w:space="0"/>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32</w:t>
            </w:r>
          </w:p>
        </w:tc>
        <w:tc>
          <w:tcPr>
            <w:tcW w:w="1701"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西藏区自治区</w:t>
            </w:r>
          </w:p>
        </w:tc>
        <w:tc>
          <w:tcPr>
            <w:tcW w:w="1984"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319.98</w:t>
            </w:r>
          </w:p>
        </w:tc>
        <w:tc>
          <w:tcPr>
            <w:tcW w:w="1276"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0</w:t>
            </w:r>
          </w:p>
        </w:tc>
        <w:tc>
          <w:tcPr>
            <w:tcW w:w="1985"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70112.725</w:t>
            </w:r>
          </w:p>
        </w:tc>
        <w:tc>
          <w:tcPr>
            <w:tcW w:w="1417" w:type="dxa"/>
            <w:tcBorders>
              <w:top w:val="nil"/>
              <w:left w:val="nil"/>
              <w:bottom w:val="single" w:color="auto" w:sz="4" w:space="0"/>
              <w:right w:val="single" w:color="auto" w:sz="4" w:space="0"/>
            </w:tcBorders>
            <w:shd w:val="clear" w:color="000000" w:fill="FFFFFF"/>
            <w:noWrap w:val="0"/>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-99.54</w:t>
            </w:r>
          </w:p>
        </w:tc>
      </w:tr>
    </w:tbl>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四、行业效益及社会贡献</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一季度，全行业拍卖佣金收入10.03亿元，同比增长77. 19%，同比收入净增加4.37亿元；季度平均佣金率0.66%，较去年的0.6%微增0.06个百分点，较2019年下降0.14个百分点。</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从一季度各月情况来看，1月份行业佣金收入亿3.62元，2月份行业佣金收入2.17亿元，3月份行业佣金收入4.24亿元。排除1、2月份结算季、春节假期等因素影响，3月份行业效益呈现大幅增长趋势。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一季度，全行业</w:t>
      </w:r>
      <w:r>
        <w:rPr>
          <w:rFonts w:hint="eastAsia" w:ascii="宋体" w:hAnsi="宋体" w:eastAsia="宋体" w:cs="宋体"/>
          <w:color w:val="333333"/>
          <w:sz w:val="28"/>
          <w:szCs w:val="28"/>
        </w:rPr>
        <w:t>主营业务利润7.57亿元，同比增幅达111.8%；一季度缴纳增值税金0.67亿元；缴纳企业所得税0.46亿元。以上数据说明后疫情时代基本消除了行业效益增长的诸多消极因素，行业经营已经恢复和超过了疫情之前的水平</w:t>
      </w:r>
      <w:r>
        <w:rPr>
          <w:rFonts w:hint="eastAsia" w:ascii="宋体" w:hAnsi="宋体" w:eastAsia="宋体" w:cs="宋体"/>
          <w:sz w:val="28"/>
          <w:szCs w:val="28"/>
        </w:rPr>
        <w:t>。</w:t>
      </w:r>
    </w:p>
    <w:p>
      <w:pPr>
        <w:jc w:val="center"/>
        <w:rPr>
          <w:rFonts w:hint="eastAsia" w:ascii="宋体" w:hAnsi="宋体" w:eastAsia="宋体" w:cs="宋体"/>
          <w:b/>
          <w:sz w:val="32"/>
          <w:szCs w:val="32"/>
        </w:rPr>
      </w:pPr>
    </w:p>
    <w:p>
      <w:pPr>
        <w:jc w:val="center"/>
        <w:rPr>
          <w:rFonts w:asciiTheme="majorEastAsia" w:hAnsiTheme="majorEastAsia" w:eastAsiaTheme="majorEastAsia"/>
          <w:b/>
          <w:sz w:val="44"/>
          <w:szCs w:val="44"/>
        </w:rPr>
      </w:pPr>
      <w:r>
        <w:rPr>
          <w:rFonts w:hint="eastAsia" w:ascii="宋体" w:hAnsi="宋体" w:eastAsia="宋体" w:cs="宋体"/>
          <w:b/>
          <w:sz w:val="32"/>
          <w:szCs w:val="32"/>
        </w:rPr>
        <w:t>2021年4月拍卖行业经营情况简报</w:t>
      </w:r>
    </w:p>
    <w:p>
      <w:pPr>
        <w:pStyle w:val="13"/>
        <w:spacing w:beforeLines="150" w:afterLines="50" w:line="480" w:lineRule="auto"/>
        <w:ind w:firstLine="643"/>
        <w:rPr>
          <w:rFonts w:hint="eastAsia" w:ascii="宋体" w:hAnsi="宋体" w:eastAsia="宋体" w:cs="宋体"/>
          <w:b/>
          <w:sz w:val="28"/>
          <w:szCs w:val="28"/>
        </w:rPr>
      </w:pPr>
      <w:r>
        <w:rPr>
          <w:rFonts w:hint="eastAsia" w:ascii="宋体" w:hAnsi="宋体" w:eastAsia="宋体" w:cs="宋体"/>
          <w:b/>
          <w:sz w:val="28"/>
          <w:szCs w:val="28"/>
        </w:rPr>
        <w:t>一、行业基本情况</w:t>
      </w:r>
    </w:p>
    <w:p>
      <w:pPr>
        <w:pStyle w:val="13"/>
        <w:ind w:left="105" w:leftChars="50" w:firstLineChars="150"/>
        <w:rPr>
          <w:rFonts w:hint="eastAsia" w:ascii="宋体" w:hAnsi="宋体" w:eastAsia="宋体" w:cs="宋体"/>
          <w:sz w:val="28"/>
          <w:szCs w:val="28"/>
        </w:rPr>
      </w:pPr>
      <w:r>
        <w:rPr>
          <w:rFonts w:hint="eastAsia" w:ascii="宋体" w:hAnsi="宋体" w:eastAsia="宋体" w:cs="宋体"/>
          <w:sz w:val="28"/>
          <w:szCs w:val="28"/>
        </w:rPr>
        <w:t>截至2021年4月底，全国32个省级行政区共有拍卖企业8723家，比上年同期增加574家。企业法人分支机构265个，同比维持不变。国家注册拍卖师12029人，拍卖企业员工总数约68900人。</w:t>
      </w:r>
    </w:p>
    <w:p>
      <w:pPr>
        <w:pStyle w:val="13"/>
        <w:ind w:firstLine="560"/>
        <w:rPr>
          <w:rFonts w:hint="eastAsia" w:ascii="宋体" w:hAnsi="宋体" w:eastAsia="宋体" w:cs="宋体"/>
          <w:sz w:val="28"/>
          <w:szCs w:val="28"/>
        </w:rPr>
      </w:pPr>
      <w:r>
        <w:rPr>
          <w:rFonts w:hint="eastAsia" w:ascii="宋体" w:hAnsi="宋体" w:eastAsia="宋体" w:cs="宋体"/>
          <w:sz w:val="28"/>
          <w:szCs w:val="28"/>
        </w:rPr>
        <w:t>据“全国拍卖行业管理信息系统”统计，4月份，全国拍卖企业拍卖成交场次9249场，较去年同期增加2064场，实现成交额678.12亿元，成交额同比增长15.22%，为2013年以来同期行业成交额最高值（见图1）。</w:t>
      </w:r>
    </w:p>
    <w:p>
      <w:pPr>
        <w:pStyle w:val="13"/>
        <w:ind w:firstLine="560"/>
        <w:rPr>
          <w:rFonts w:hint="eastAsia" w:ascii="宋体" w:hAnsi="宋体" w:eastAsia="宋体" w:cs="宋体"/>
          <w:sz w:val="28"/>
          <w:szCs w:val="28"/>
        </w:rPr>
      </w:pPr>
      <w:r>
        <w:rPr>
          <w:rFonts w:hint="eastAsia" w:ascii="宋体" w:hAnsi="宋体" w:eastAsia="宋体" w:cs="宋体"/>
          <w:sz w:val="28"/>
          <w:szCs w:val="28"/>
        </w:rPr>
        <w:t>2021年4月份，“全国拍卖行业管理信息系统” 中有行业企业4923家填报当月经营信息，填报率56.27%。</w:t>
      </w:r>
    </w:p>
    <w:p>
      <w:pPr>
        <w:pStyle w:val="13"/>
        <w:ind w:firstLine="0" w:firstLineChars="0"/>
        <w:jc w:val="center"/>
        <w:rPr>
          <w:rFonts w:ascii="黑体" w:hAnsi="黑体" w:eastAsia="黑体"/>
          <w:sz w:val="24"/>
          <w:szCs w:val="24"/>
        </w:rPr>
      </w:pPr>
      <w:r>
        <w:rPr>
          <w:rFonts w:hint="eastAsia" w:ascii="黑体" w:hAnsi="黑体" w:eastAsia="黑体"/>
          <w:sz w:val="24"/>
          <w:szCs w:val="24"/>
        </w:rPr>
        <w:t>图1   2013-2021年 4月份拍卖成交额   单位：亿元</w:t>
      </w:r>
    </w:p>
    <w:p>
      <w:pPr>
        <w:pStyle w:val="13"/>
        <w:ind w:firstLine="0" w:firstLineChars="0"/>
        <w:rPr>
          <w:rFonts w:ascii="宋体" w:hAnsi="宋体"/>
          <w:b/>
          <w:sz w:val="28"/>
          <w:szCs w:val="28"/>
        </w:rPr>
      </w:pPr>
      <w:r>
        <w:rPr>
          <w:rFonts w:ascii="宋体" w:hAnsi="宋体"/>
          <w:b/>
          <w:sz w:val="28"/>
          <w:szCs w:val="28"/>
        </w:rPr>
        <w:drawing>
          <wp:inline distT="0" distB="0" distL="0" distR="0">
            <wp:extent cx="5274310" cy="3076575"/>
            <wp:effectExtent l="19050" t="0" r="2159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3"/>
        <w:ind w:firstLine="643"/>
        <w:rPr>
          <w:rFonts w:hint="eastAsia" w:ascii="黑体" w:hAnsi="黑体" w:eastAsia="黑体"/>
          <w:b/>
          <w:sz w:val="32"/>
          <w:szCs w:val="32"/>
        </w:rPr>
      </w:pPr>
    </w:p>
    <w:p>
      <w:pPr>
        <w:pStyle w:val="13"/>
        <w:ind w:firstLine="643"/>
        <w:rPr>
          <w:rFonts w:hint="eastAsia" w:ascii="黑体" w:hAnsi="黑体" w:eastAsia="黑体"/>
          <w:b/>
          <w:sz w:val="32"/>
          <w:szCs w:val="32"/>
        </w:rPr>
      </w:pPr>
    </w:p>
    <w:p>
      <w:pPr>
        <w:pStyle w:val="13"/>
        <w:ind w:firstLine="643"/>
        <w:rPr>
          <w:rFonts w:hint="eastAsia" w:ascii="宋体" w:hAnsi="宋体" w:eastAsia="宋体" w:cs="宋体"/>
          <w:b/>
          <w:sz w:val="28"/>
          <w:szCs w:val="28"/>
        </w:rPr>
      </w:pPr>
      <w:r>
        <w:rPr>
          <w:rFonts w:hint="eastAsia" w:ascii="宋体" w:hAnsi="宋体" w:eastAsia="宋体" w:cs="宋体"/>
          <w:b/>
          <w:sz w:val="28"/>
          <w:szCs w:val="28"/>
        </w:rPr>
        <w:t>二、主要标的成交情况</w:t>
      </w:r>
    </w:p>
    <w:p>
      <w:pPr>
        <w:pStyle w:val="6"/>
        <w:spacing w:before="0" w:beforeAutospacing="0" w:after="0" w:afterAutospacing="0" w:line="4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4月份，拍卖行业成交总额同比呈现较大增幅。具体到各主要标的，除房地产、农副产品和无形资产拍卖业务表现下降情形外，其他各主要标的拍卖成交额同比均出现增长（见表1）。</w:t>
      </w:r>
    </w:p>
    <w:p>
      <w:pPr>
        <w:pStyle w:val="6"/>
        <w:spacing w:before="0" w:beforeAutospacing="0" w:after="0" w:afterAutospacing="0" w:line="4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首先，在成交额增长板块中，房地产拍卖成交103.29亿元，同比增长74. 73%；机动车拍卖业务成交15.81亿元，同比增长23.50%；股权债权拍卖成交54. 23亿元，同比增长46.59%；文物艺术品拍卖成交2.86亿元，同比增长678.95%。其他类拍卖业务成交91.22亿元，同比增长52.46%。</w:t>
      </w:r>
    </w:p>
    <w:p>
      <w:pPr>
        <w:pStyle w:val="6"/>
        <w:spacing w:before="0" w:beforeAutospacing="0" w:after="0" w:afterAutospacing="0" w:line="4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其次，在成交额下降板块中，土地使用权拍卖业务成交387.07亿元，同比下降1.00%；农副产品拍卖业务成交1.37亿元，同比下降47.81%；无形资产拍卖业务成交21.86亿元，同比下降12.69%；。</w:t>
      </w:r>
    </w:p>
    <w:p>
      <w:pPr>
        <w:pStyle w:val="6"/>
        <w:spacing w:before="0" w:beforeAutospacing="0" w:after="0" w:afterAutospacing="0" w:line="42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4月份，文物艺术品增长幅度最大，农副产品下降幅度最大；房地产拍卖绝对增长最多，超过50亿元，无形资产拍卖业务下降的绝对值最大，超过3亿元。</w:t>
      </w:r>
    </w:p>
    <w:p>
      <w:pPr>
        <w:pStyle w:val="6"/>
        <w:spacing w:before="0" w:beforeAutospacing="0" w:after="0" w:afterAutospacing="0" w:line="420" w:lineRule="atLeast"/>
        <w:ind w:firstLine="560" w:firstLineChars="200"/>
        <w:rPr>
          <w:rFonts w:ascii="仿宋" w:hAnsi="仿宋" w:eastAsia="仿宋"/>
          <w:sz w:val="28"/>
          <w:szCs w:val="28"/>
        </w:rPr>
      </w:pPr>
      <w:r>
        <w:rPr>
          <w:rFonts w:hint="eastAsia" w:ascii="宋体" w:hAnsi="宋体" w:eastAsia="宋体" w:cs="宋体"/>
          <w:sz w:val="28"/>
          <w:szCs w:val="28"/>
        </w:rPr>
        <w:t>从各标的变动的原因来看，房地产拍卖业务的增长主要受到经济全面恢复增长尤其是年初房地产市场上行的影响；农副产品成交大幅下降是因去年同期成交额“冒高”造成的反差所致（去年同期成交3.36亿元，相比2019年同期增长92.25%）；艺术品拍卖除市场波动外主要受到去年此时春拍多数企业推后，而今年很多企业都积极尝试了网络拍卖，使成交额明显增长。</w:t>
      </w:r>
    </w:p>
    <w:p>
      <w:pPr>
        <w:pStyle w:val="13"/>
        <w:ind w:left="210" w:leftChars="100" w:firstLine="0" w:firstLineChars="0"/>
        <w:jc w:val="center"/>
        <w:rPr>
          <w:rFonts w:ascii="黑体" w:hAnsi="黑体" w:eastAsia="黑体"/>
          <w:sz w:val="28"/>
          <w:szCs w:val="28"/>
        </w:rPr>
      </w:pPr>
    </w:p>
    <w:p>
      <w:pPr>
        <w:pStyle w:val="13"/>
        <w:ind w:left="210" w:leftChars="100" w:firstLine="0" w:firstLineChars="0"/>
        <w:jc w:val="center"/>
        <w:rPr>
          <w:rFonts w:ascii="黑体" w:hAnsi="黑体" w:eastAsia="黑体"/>
          <w:bCs/>
          <w:sz w:val="24"/>
          <w:szCs w:val="24"/>
        </w:rPr>
      </w:pPr>
      <w:r>
        <w:rPr>
          <w:rFonts w:hint="eastAsia" w:ascii="黑体" w:hAnsi="黑体" w:eastAsia="黑体"/>
          <w:sz w:val="24"/>
          <w:szCs w:val="24"/>
        </w:rPr>
        <w:t xml:space="preserve">表1  </w:t>
      </w:r>
      <w:r>
        <w:rPr>
          <w:rStyle w:val="9"/>
          <w:rFonts w:hint="eastAsia" w:ascii="黑体" w:hAnsi="黑体" w:eastAsia="黑体"/>
          <w:b w:val="0"/>
          <w:sz w:val="24"/>
          <w:szCs w:val="24"/>
        </w:rPr>
        <w:t>各标的成交额增长对比表（按拍卖标的）单位：万元</w:t>
      </w:r>
    </w:p>
    <w:tbl>
      <w:tblPr>
        <w:tblStyle w:val="7"/>
        <w:tblW w:w="5000" w:type="pct"/>
        <w:tblInd w:w="0" w:type="dxa"/>
        <w:tblLayout w:type="autofit"/>
        <w:tblCellMar>
          <w:top w:w="0" w:type="dxa"/>
          <w:left w:w="108" w:type="dxa"/>
          <w:bottom w:w="0" w:type="dxa"/>
          <w:right w:w="108" w:type="dxa"/>
        </w:tblCellMar>
      </w:tblPr>
      <w:tblGrid>
        <w:gridCol w:w="1989"/>
        <w:gridCol w:w="1846"/>
        <w:gridCol w:w="1278"/>
        <w:gridCol w:w="1704"/>
        <w:gridCol w:w="1705"/>
      </w:tblGrid>
      <w:tr>
        <w:tblPrEx>
          <w:tblCellMar>
            <w:top w:w="0" w:type="dxa"/>
            <w:left w:w="108" w:type="dxa"/>
            <w:bottom w:w="0" w:type="dxa"/>
            <w:right w:w="108" w:type="dxa"/>
          </w:tblCellMar>
        </w:tblPrEx>
        <w:trPr>
          <w:trHeight w:val="285" w:hRule="atLeast"/>
        </w:trPr>
        <w:tc>
          <w:tcPr>
            <w:tcW w:w="1167" w:type="pct"/>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项目标的</w:t>
            </w:r>
          </w:p>
        </w:tc>
        <w:tc>
          <w:tcPr>
            <w:tcW w:w="1083" w:type="pct"/>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2021年4月</w:t>
            </w:r>
          </w:p>
        </w:tc>
        <w:tc>
          <w:tcPr>
            <w:tcW w:w="750" w:type="pct"/>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比值(%)</w:t>
            </w:r>
          </w:p>
        </w:tc>
        <w:tc>
          <w:tcPr>
            <w:tcW w:w="2000" w:type="pct"/>
            <w:gridSpan w:val="2"/>
            <w:tcBorders>
              <w:top w:val="single" w:color="DBDBDB" w:sz="8" w:space="0"/>
              <w:left w:val="nil"/>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同比增长</w:t>
            </w:r>
          </w:p>
        </w:tc>
      </w:tr>
      <w:tr>
        <w:tblPrEx>
          <w:tblCellMar>
            <w:top w:w="0" w:type="dxa"/>
            <w:left w:w="108" w:type="dxa"/>
            <w:bottom w:w="0" w:type="dxa"/>
            <w:right w:w="108" w:type="dxa"/>
          </w:tblCellMar>
        </w:tblPrEx>
        <w:trPr>
          <w:trHeight w:val="555" w:hRule="atLeast"/>
        </w:trPr>
        <w:tc>
          <w:tcPr>
            <w:tcW w:w="1167" w:type="pct"/>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083" w:type="pct"/>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750" w:type="pct"/>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000" w:type="pct"/>
            <w:tcBorders>
              <w:top w:val="nil"/>
              <w:left w:val="nil"/>
              <w:bottom w:val="single" w:color="DBDBDB" w:sz="8" w:space="0"/>
              <w:right w:val="single" w:color="E4E8EF"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2020年4月</w:t>
            </w:r>
          </w:p>
        </w:tc>
        <w:tc>
          <w:tcPr>
            <w:tcW w:w="1000" w:type="pct"/>
            <w:tcBorders>
              <w:top w:val="nil"/>
              <w:left w:val="single" w:color="DBDBDB" w:sz="8" w:space="0"/>
              <w:bottom w:val="single" w:color="DBDBDB" w:sz="8" w:space="0"/>
              <w:right w:val="single" w:color="E4E8EF"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增长率(%)</w:t>
            </w:r>
          </w:p>
        </w:tc>
      </w:tr>
      <w:tr>
        <w:tblPrEx>
          <w:tblCellMar>
            <w:top w:w="0" w:type="dxa"/>
            <w:left w:w="108" w:type="dxa"/>
            <w:bottom w:w="0" w:type="dxa"/>
            <w:right w:w="108" w:type="dxa"/>
          </w:tblCellMar>
        </w:tblPrEx>
        <w:trPr>
          <w:trHeight w:val="324"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合计</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6781240</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100</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5885257</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15.22</w:t>
            </w:r>
          </w:p>
        </w:tc>
      </w:tr>
      <w:tr>
        <w:tblPrEx>
          <w:tblCellMar>
            <w:top w:w="0" w:type="dxa"/>
            <w:left w:w="108" w:type="dxa"/>
            <w:bottom w:w="0" w:type="dxa"/>
            <w:right w:w="108" w:type="dxa"/>
          </w:tblCellMar>
        </w:tblPrEx>
        <w:trPr>
          <w:trHeight w:val="28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房地产</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1032948</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15.23</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591164</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74.73</w:t>
            </w:r>
          </w:p>
        </w:tc>
      </w:tr>
      <w:tr>
        <w:tblPrEx>
          <w:tblCellMar>
            <w:top w:w="0" w:type="dxa"/>
            <w:left w:w="108" w:type="dxa"/>
            <w:bottom w:w="0" w:type="dxa"/>
            <w:right w:w="108" w:type="dxa"/>
          </w:tblCellMar>
        </w:tblPrEx>
        <w:trPr>
          <w:trHeight w:val="55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土地使用权</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3870723</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57.08</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3909832</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w:t>
            </w:r>
          </w:p>
        </w:tc>
      </w:tr>
      <w:tr>
        <w:tblPrEx>
          <w:tblCellMar>
            <w:top w:w="0" w:type="dxa"/>
            <w:left w:w="108" w:type="dxa"/>
            <w:bottom w:w="0" w:type="dxa"/>
            <w:right w:w="108" w:type="dxa"/>
          </w:tblCellMar>
        </w:tblPrEx>
        <w:trPr>
          <w:trHeight w:val="237"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机动车</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158122</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2.33</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128033</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23.5</w:t>
            </w:r>
          </w:p>
        </w:tc>
      </w:tr>
      <w:tr>
        <w:tblPrEx>
          <w:tblCellMar>
            <w:top w:w="0" w:type="dxa"/>
            <w:left w:w="108" w:type="dxa"/>
            <w:bottom w:w="0" w:type="dxa"/>
            <w:right w:w="108" w:type="dxa"/>
          </w:tblCellMar>
        </w:tblPrEx>
        <w:trPr>
          <w:trHeight w:val="28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农副产品</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17707.3</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0.26</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33925.9</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-47.81</w:t>
            </w:r>
          </w:p>
        </w:tc>
      </w:tr>
      <w:tr>
        <w:tblPrEx>
          <w:tblCellMar>
            <w:top w:w="0" w:type="dxa"/>
            <w:left w:w="108" w:type="dxa"/>
            <w:bottom w:w="0" w:type="dxa"/>
            <w:right w:w="108" w:type="dxa"/>
          </w:tblCellMar>
        </w:tblPrEx>
        <w:trPr>
          <w:trHeight w:val="55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股权、债权、产权</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542279</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369933</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46.59</w:t>
            </w:r>
          </w:p>
        </w:tc>
      </w:tr>
      <w:tr>
        <w:tblPrEx>
          <w:tblCellMar>
            <w:top w:w="0" w:type="dxa"/>
            <w:left w:w="108" w:type="dxa"/>
            <w:bottom w:w="0" w:type="dxa"/>
            <w:right w:w="108" w:type="dxa"/>
          </w:tblCellMar>
        </w:tblPrEx>
        <w:trPr>
          <w:trHeight w:val="28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无形资产</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218573</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3.22</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250346</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-12.69</w:t>
            </w:r>
          </w:p>
        </w:tc>
      </w:tr>
      <w:tr>
        <w:tblPrEx>
          <w:tblCellMar>
            <w:top w:w="0" w:type="dxa"/>
            <w:left w:w="108" w:type="dxa"/>
            <w:bottom w:w="0" w:type="dxa"/>
            <w:right w:w="108" w:type="dxa"/>
          </w:tblCellMar>
        </w:tblPrEx>
        <w:trPr>
          <w:trHeight w:val="55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文物艺术品</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28644.9</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0.42</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3677.39</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678.95</w:t>
            </w:r>
          </w:p>
        </w:tc>
      </w:tr>
      <w:tr>
        <w:tblPrEx>
          <w:tblCellMar>
            <w:top w:w="0" w:type="dxa"/>
            <w:left w:w="108" w:type="dxa"/>
            <w:bottom w:w="0" w:type="dxa"/>
            <w:right w:w="108" w:type="dxa"/>
          </w:tblCellMar>
        </w:tblPrEx>
        <w:trPr>
          <w:trHeight w:val="285" w:hRule="atLeast"/>
        </w:trPr>
        <w:tc>
          <w:tcPr>
            <w:tcW w:w="1167" w:type="pct"/>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其他</w:t>
            </w:r>
          </w:p>
        </w:tc>
        <w:tc>
          <w:tcPr>
            <w:tcW w:w="1083"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912242</w:t>
            </w:r>
          </w:p>
        </w:tc>
        <w:tc>
          <w:tcPr>
            <w:tcW w:w="75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13.45</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598346</w:t>
            </w:r>
          </w:p>
        </w:tc>
        <w:tc>
          <w:tcPr>
            <w:tcW w:w="1000" w:type="pct"/>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52.46</w:t>
            </w:r>
          </w:p>
        </w:tc>
      </w:tr>
    </w:tbl>
    <w:p>
      <w:pPr>
        <w:pStyle w:val="13"/>
        <w:ind w:firstLine="0" w:firstLineChars="0"/>
        <w:jc w:val="center"/>
        <w:rPr>
          <w:rFonts w:ascii="宋体" w:hAnsi="宋体"/>
          <w:sz w:val="28"/>
          <w:szCs w:val="28"/>
        </w:rPr>
      </w:pPr>
    </w:p>
    <w:p>
      <w:pPr>
        <w:pStyle w:val="13"/>
        <w:spacing w:afterLines="50"/>
        <w:ind w:firstLine="643"/>
        <w:rPr>
          <w:rFonts w:hint="eastAsia" w:ascii="宋体" w:hAnsi="宋体" w:eastAsia="宋体" w:cs="宋体"/>
          <w:b/>
          <w:sz w:val="28"/>
          <w:szCs w:val="28"/>
        </w:rPr>
      </w:pPr>
      <w:r>
        <w:rPr>
          <w:rFonts w:hint="eastAsia" w:ascii="宋体" w:hAnsi="宋体" w:eastAsia="宋体" w:cs="宋体"/>
          <w:b/>
          <w:sz w:val="28"/>
          <w:szCs w:val="28"/>
        </w:rPr>
        <w:t>三、主要委托对象成交情况</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4月，各主要委托对象中除法院、政府部门和金融机构委托成交额出现不同程度降幅外，其他各委托人委托的业务成交额均出现较大增幅。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其中，破产清算组委托成交7.56亿元，同比增长63.94%；其他机构委托成交196.80亿元，同比增长135.27%；个人委托成交16.50亿元，同比增长208.62%。</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政府部门委托成交369.05亿元，同比下降4.26%，在总成交额中占比54.42%，同比呈现近17.7个百分点的将幅，但是仍然稳居各委托业务成交额榜首；法院委托成交38.74亿元，同比下降2.43%；金融机构委托成交49.48亿元，同比下降29.04%（见表2）。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从各委托来源成交额变化情况来看，其他资产机构委托业务成交额出现了较大幅度的增长，成为带动4月份行业总体增长的动力；个人委托业务成交额的全面恢复增长，也是行业总体稳定的一个重要因素，二者保持增长的主要原因很大程度上可以判断为社会资产在投资等流转方面表现活跃；法院委托和政府部门委托虽都有降幅，但基本保持了业务的稳定，对行业总成交额影响不大。</w:t>
      </w:r>
    </w:p>
    <w:p>
      <w:pPr>
        <w:pStyle w:val="13"/>
        <w:spacing w:beforeLines="50"/>
        <w:ind w:firstLine="0" w:firstLineChars="0"/>
        <w:jc w:val="center"/>
        <w:rPr>
          <w:rFonts w:ascii="黑体" w:hAnsi="黑体" w:eastAsia="黑体"/>
          <w:bCs/>
          <w:sz w:val="24"/>
          <w:szCs w:val="24"/>
        </w:rPr>
      </w:pPr>
      <w:bookmarkStart w:id="0" w:name="OLE_LINK3"/>
      <w:bookmarkStart w:id="1" w:name="OLE_LINK4"/>
      <w:r>
        <w:rPr>
          <w:rStyle w:val="9"/>
          <w:rFonts w:hint="eastAsia" w:ascii="仿宋" w:hAnsi="仿宋" w:eastAsia="仿宋"/>
          <w:b w:val="0"/>
          <w:sz w:val="28"/>
          <w:szCs w:val="28"/>
        </w:rPr>
        <w:t xml:space="preserve">  </w:t>
      </w:r>
      <w:r>
        <w:rPr>
          <w:rStyle w:val="9"/>
          <w:rFonts w:hint="eastAsia" w:ascii="黑体" w:hAnsi="黑体" w:eastAsia="黑体"/>
          <w:b w:val="0"/>
          <w:sz w:val="28"/>
          <w:szCs w:val="28"/>
        </w:rPr>
        <w:t xml:space="preserve"> </w:t>
      </w:r>
      <w:r>
        <w:rPr>
          <w:rStyle w:val="9"/>
          <w:rFonts w:hint="eastAsia" w:ascii="黑体" w:hAnsi="黑体" w:eastAsia="黑体"/>
          <w:b w:val="0"/>
          <w:sz w:val="24"/>
          <w:szCs w:val="24"/>
        </w:rPr>
        <w:t xml:space="preserve"> 表2  各委托成交额增长对比表（按委托对象）单位：万元</w:t>
      </w:r>
      <w:bookmarkEnd w:id="0"/>
      <w:bookmarkEnd w:id="1"/>
    </w:p>
    <w:tbl>
      <w:tblPr>
        <w:tblStyle w:val="7"/>
        <w:tblW w:w="8506" w:type="dxa"/>
        <w:jc w:val="center"/>
        <w:tblLayout w:type="fixed"/>
        <w:tblCellMar>
          <w:top w:w="0" w:type="dxa"/>
          <w:left w:w="108" w:type="dxa"/>
          <w:bottom w:w="0" w:type="dxa"/>
          <w:right w:w="108" w:type="dxa"/>
        </w:tblCellMar>
      </w:tblPr>
      <w:tblGrid>
        <w:gridCol w:w="1985"/>
        <w:gridCol w:w="1843"/>
        <w:gridCol w:w="1134"/>
        <w:gridCol w:w="1701"/>
        <w:gridCol w:w="1843"/>
      </w:tblGrid>
      <w:tr>
        <w:tblPrEx>
          <w:tblCellMar>
            <w:top w:w="0" w:type="dxa"/>
            <w:left w:w="108" w:type="dxa"/>
            <w:bottom w:w="0" w:type="dxa"/>
            <w:right w:w="108" w:type="dxa"/>
          </w:tblCellMar>
        </w:tblPrEx>
        <w:trPr>
          <w:trHeight w:val="285" w:hRule="atLeast"/>
          <w:jc w:val="center"/>
        </w:trPr>
        <w:tc>
          <w:tcPr>
            <w:tcW w:w="1985"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委托对象</w:t>
            </w:r>
          </w:p>
        </w:tc>
        <w:tc>
          <w:tcPr>
            <w:tcW w:w="1843"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2021年4月</w:t>
            </w:r>
          </w:p>
        </w:tc>
        <w:tc>
          <w:tcPr>
            <w:tcW w:w="1134"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比值(%)</w:t>
            </w:r>
          </w:p>
        </w:tc>
        <w:tc>
          <w:tcPr>
            <w:tcW w:w="3544" w:type="dxa"/>
            <w:gridSpan w:val="2"/>
            <w:tcBorders>
              <w:top w:val="single" w:color="DBDBDB" w:sz="8" w:space="0"/>
              <w:left w:val="nil"/>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同比增长</w:t>
            </w:r>
          </w:p>
        </w:tc>
      </w:tr>
      <w:tr>
        <w:tblPrEx>
          <w:tblCellMar>
            <w:top w:w="0" w:type="dxa"/>
            <w:left w:w="108" w:type="dxa"/>
            <w:bottom w:w="0" w:type="dxa"/>
            <w:right w:w="108" w:type="dxa"/>
          </w:tblCellMar>
        </w:tblPrEx>
        <w:trPr>
          <w:trHeight w:val="555" w:hRule="atLeast"/>
          <w:jc w:val="center"/>
        </w:trPr>
        <w:tc>
          <w:tcPr>
            <w:tcW w:w="1985"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843"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134"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701" w:type="dxa"/>
            <w:tcBorders>
              <w:top w:val="nil"/>
              <w:left w:val="nil"/>
              <w:bottom w:val="single" w:color="DBDBDB" w:sz="8" w:space="0"/>
              <w:right w:val="single" w:color="E4E8EF"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2020年4月</w:t>
            </w:r>
          </w:p>
        </w:tc>
        <w:tc>
          <w:tcPr>
            <w:tcW w:w="1843" w:type="dxa"/>
            <w:tcBorders>
              <w:top w:val="nil"/>
              <w:left w:val="single" w:color="DBDBDB" w:sz="8" w:space="0"/>
              <w:bottom w:val="single" w:color="DBDBDB" w:sz="8" w:space="0"/>
              <w:right w:val="single" w:color="E4E8EF"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增长率(%)</w:t>
            </w:r>
          </w:p>
        </w:tc>
      </w:tr>
      <w:tr>
        <w:tblPrEx>
          <w:tblCellMar>
            <w:top w:w="0" w:type="dxa"/>
            <w:left w:w="108" w:type="dxa"/>
            <w:bottom w:w="0" w:type="dxa"/>
            <w:right w:w="108" w:type="dxa"/>
          </w:tblCellMar>
        </w:tblPrEx>
        <w:trPr>
          <w:trHeight w:val="467"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合计</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6781240</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100</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5885257</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15.22</w:t>
            </w:r>
          </w:p>
        </w:tc>
      </w:tr>
      <w:tr>
        <w:tblPrEx>
          <w:tblCellMar>
            <w:top w:w="0" w:type="dxa"/>
            <w:left w:w="108" w:type="dxa"/>
            <w:bottom w:w="0" w:type="dxa"/>
            <w:right w:w="108" w:type="dxa"/>
          </w:tblCellMar>
        </w:tblPrEx>
        <w:trPr>
          <w:trHeight w:val="249"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法院委托</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387440</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5.71</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397085</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-2.43</w:t>
            </w:r>
          </w:p>
        </w:tc>
      </w:tr>
      <w:tr>
        <w:tblPrEx>
          <w:tblCellMar>
            <w:top w:w="0" w:type="dxa"/>
            <w:left w:w="108" w:type="dxa"/>
            <w:bottom w:w="0" w:type="dxa"/>
            <w:right w:w="108" w:type="dxa"/>
          </w:tblCellMar>
        </w:tblPrEx>
        <w:trPr>
          <w:trHeight w:val="555"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政府部门委托</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3690472</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54.42</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3854865</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-4.26</w:t>
            </w:r>
          </w:p>
        </w:tc>
      </w:tr>
      <w:tr>
        <w:tblPrEx>
          <w:tblCellMar>
            <w:top w:w="0" w:type="dxa"/>
            <w:left w:w="108" w:type="dxa"/>
            <w:bottom w:w="0" w:type="dxa"/>
            <w:right w:w="108" w:type="dxa"/>
          </w:tblCellMar>
        </w:tblPrEx>
        <w:trPr>
          <w:trHeight w:val="555"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金融资产机构委托</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494776</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7.3</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697281</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-29.04</w:t>
            </w:r>
          </w:p>
        </w:tc>
      </w:tr>
      <w:tr>
        <w:tblPrEx>
          <w:tblCellMar>
            <w:top w:w="0" w:type="dxa"/>
            <w:left w:w="108" w:type="dxa"/>
            <w:bottom w:w="0" w:type="dxa"/>
            <w:right w:w="108" w:type="dxa"/>
          </w:tblCellMar>
        </w:tblPrEx>
        <w:trPr>
          <w:trHeight w:val="555"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破产清算组委托</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75558.5</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1.11</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46088.5</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63.94</w:t>
            </w:r>
          </w:p>
        </w:tc>
      </w:tr>
      <w:tr>
        <w:trPr>
          <w:trHeight w:val="555"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其他机构委托</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1967953</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29.02</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836461</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135.27</w:t>
            </w:r>
          </w:p>
        </w:tc>
      </w:tr>
      <w:tr>
        <w:tblPrEx>
          <w:tblCellMar>
            <w:top w:w="0" w:type="dxa"/>
            <w:left w:w="108" w:type="dxa"/>
            <w:bottom w:w="0" w:type="dxa"/>
            <w:right w:w="108" w:type="dxa"/>
          </w:tblCellMar>
        </w:tblPrEx>
        <w:trPr>
          <w:trHeight w:val="285" w:hRule="atLeast"/>
          <w:jc w:val="center"/>
        </w:trPr>
        <w:tc>
          <w:tcPr>
            <w:tcW w:w="1985"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个人委托</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165041</w:t>
            </w:r>
          </w:p>
        </w:tc>
        <w:tc>
          <w:tcPr>
            <w:tcW w:w="1134"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2.43</w:t>
            </w:r>
          </w:p>
        </w:tc>
        <w:tc>
          <w:tcPr>
            <w:tcW w:w="1701"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53476.5</w:t>
            </w:r>
          </w:p>
        </w:tc>
        <w:tc>
          <w:tcPr>
            <w:tcW w:w="1843"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208.62</w:t>
            </w:r>
          </w:p>
        </w:tc>
      </w:tr>
    </w:tbl>
    <w:p>
      <w:pPr>
        <w:pStyle w:val="13"/>
        <w:ind w:firstLine="0" w:firstLineChars="0"/>
        <w:jc w:val="center"/>
        <w:rPr>
          <w:rFonts w:ascii="宋体" w:hAnsi="宋体"/>
          <w:sz w:val="28"/>
          <w:szCs w:val="28"/>
        </w:rPr>
      </w:pPr>
    </w:p>
    <w:p>
      <w:pPr>
        <w:pStyle w:val="13"/>
        <w:ind w:firstLine="643"/>
        <w:rPr>
          <w:rFonts w:hint="eastAsia" w:ascii="宋体" w:hAnsi="宋体" w:eastAsia="宋体" w:cs="宋体"/>
          <w:b/>
          <w:sz w:val="28"/>
          <w:szCs w:val="28"/>
        </w:rPr>
      </w:pPr>
      <w:r>
        <w:rPr>
          <w:rFonts w:hint="eastAsia" w:ascii="宋体" w:hAnsi="宋体" w:eastAsia="宋体" w:cs="宋体"/>
          <w:b/>
          <w:sz w:val="28"/>
          <w:szCs w:val="28"/>
        </w:rPr>
        <w:t>四、各省市成交情况</w:t>
      </w:r>
    </w:p>
    <w:p>
      <w:pPr>
        <w:pStyle w:val="13"/>
        <w:ind w:left="105" w:leftChars="50" w:firstLine="557" w:firstLineChars="199"/>
        <w:rPr>
          <w:rFonts w:hint="eastAsia" w:ascii="宋体" w:hAnsi="宋体" w:eastAsia="宋体" w:cs="宋体"/>
          <w:sz w:val="28"/>
          <w:szCs w:val="28"/>
        </w:rPr>
      </w:pPr>
      <w:r>
        <w:rPr>
          <w:rFonts w:hint="eastAsia" w:ascii="宋体" w:hAnsi="宋体" w:eastAsia="宋体" w:cs="宋体"/>
          <w:sz w:val="28"/>
          <w:szCs w:val="28"/>
        </w:rPr>
        <w:t>4月，全国拍卖成交额在50亿元以上的省份有4个，分别是：河北省、四川省、安徽省和福建省；</w:t>
      </w:r>
    </w:p>
    <w:p>
      <w:pPr>
        <w:pStyle w:val="13"/>
        <w:ind w:left="105" w:leftChars="50" w:firstLine="557" w:firstLineChars="199"/>
        <w:rPr>
          <w:rFonts w:hint="eastAsia" w:ascii="宋体" w:hAnsi="宋体" w:eastAsia="宋体" w:cs="宋体"/>
          <w:sz w:val="28"/>
          <w:szCs w:val="28"/>
        </w:rPr>
      </w:pPr>
      <w:r>
        <w:rPr>
          <w:rFonts w:hint="eastAsia" w:ascii="宋体" w:hAnsi="宋体" w:eastAsia="宋体" w:cs="宋体"/>
          <w:sz w:val="28"/>
          <w:szCs w:val="28"/>
        </w:rPr>
        <w:t>拍卖成交额在20亿元至50亿元区间的省份有5个，分别是：上海市、重庆市、山东省、江苏省和浙江省；</w:t>
      </w:r>
    </w:p>
    <w:p>
      <w:pPr>
        <w:pStyle w:val="13"/>
        <w:ind w:left="105" w:leftChars="50" w:firstLine="557" w:firstLineChars="199"/>
        <w:rPr>
          <w:rFonts w:hint="eastAsia" w:ascii="宋体" w:hAnsi="宋体" w:eastAsia="宋体" w:cs="宋体"/>
          <w:sz w:val="28"/>
          <w:szCs w:val="28"/>
        </w:rPr>
      </w:pPr>
      <w:r>
        <w:rPr>
          <w:rFonts w:hint="eastAsia" w:ascii="宋体" w:hAnsi="宋体" w:eastAsia="宋体" w:cs="宋体"/>
          <w:sz w:val="28"/>
          <w:szCs w:val="28"/>
        </w:rPr>
        <w:t>拍卖成交额在10亿元至20亿元区间的省份有4个，分别是：广东省、江西省、河南省和湖南省；</w:t>
      </w:r>
    </w:p>
    <w:p>
      <w:pPr>
        <w:pStyle w:val="13"/>
        <w:ind w:left="105" w:leftChars="50" w:firstLine="557" w:firstLineChars="199"/>
        <w:rPr>
          <w:rFonts w:hint="eastAsia" w:ascii="宋体" w:hAnsi="宋体" w:eastAsia="宋体" w:cs="宋体"/>
          <w:sz w:val="28"/>
          <w:szCs w:val="28"/>
        </w:rPr>
      </w:pPr>
      <w:r>
        <w:rPr>
          <w:rFonts w:hint="eastAsia" w:ascii="宋体" w:hAnsi="宋体" w:eastAsia="宋体" w:cs="宋体"/>
          <w:sz w:val="28"/>
          <w:szCs w:val="28"/>
        </w:rPr>
        <w:t>拍卖成交额在5亿元至10亿元区间的省份有5个，分别是：湖北省、甘肃省、贵州省、云南省和陕西省；</w:t>
      </w:r>
    </w:p>
    <w:p>
      <w:pPr>
        <w:pStyle w:val="13"/>
        <w:ind w:left="105" w:leftChars="50" w:firstLine="557" w:firstLineChars="199"/>
        <w:rPr>
          <w:rFonts w:hint="eastAsia" w:ascii="宋体" w:hAnsi="宋体" w:eastAsia="宋体" w:cs="宋体"/>
          <w:sz w:val="28"/>
          <w:szCs w:val="28"/>
        </w:rPr>
      </w:pPr>
      <w:r>
        <w:rPr>
          <w:rFonts w:hint="eastAsia" w:ascii="宋体" w:hAnsi="宋体" w:eastAsia="宋体" w:cs="宋体"/>
          <w:sz w:val="28"/>
          <w:szCs w:val="28"/>
        </w:rPr>
        <w:t>拍卖成交额在在1亿元至5亿元区间的省份有10个，分别是：北京市、广西区、海南省、辽宁省、新疆区、宁夏区、内蒙古区、黑龙江省、青海省和吉林省；</w:t>
      </w:r>
    </w:p>
    <w:p>
      <w:pPr>
        <w:pStyle w:val="13"/>
        <w:ind w:left="105" w:leftChars="50" w:firstLine="557" w:firstLineChars="199"/>
        <w:rPr>
          <w:rFonts w:hint="eastAsia" w:ascii="宋体" w:hAnsi="宋体" w:eastAsia="宋体" w:cs="宋体"/>
          <w:sz w:val="28"/>
          <w:szCs w:val="28"/>
        </w:rPr>
      </w:pPr>
      <w:r>
        <w:rPr>
          <w:rFonts w:hint="eastAsia" w:ascii="宋体" w:hAnsi="宋体" w:eastAsia="宋体" w:cs="宋体"/>
          <w:sz w:val="28"/>
          <w:szCs w:val="28"/>
        </w:rPr>
        <w:t>天津市、山西省、新疆兵团和西藏区成交额不足1亿元（见表3）。</w:t>
      </w:r>
    </w:p>
    <w:p>
      <w:pPr>
        <w:pStyle w:val="13"/>
        <w:spacing w:beforeLines="50"/>
        <w:ind w:firstLine="0" w:firstLineChars="0"/>
        <w:jc w:val="center"/>
        <w:rPr>
          <w:rStyle w:val="9"/>
          <w:rFonts w:ascii="黑体" w:hAnsi="黑体" w:eastAsia="黑体"/>
          <w:b w:val="0"/>
          <w:sz w:val="24"/>
          <w:szCs w:val="24"/>
        </w:rPr>
      </w:pPr>
      <w:r>
        <w:rPr>
          <w:rStyle w:val="9"/>
          <w:rFonts w:hint="eastAsia" w:ascii="黑体" w:hAnsi="黑体" w:eastAsia="黑体"/>
          <w:b w:val="0"/>
          <w:sz w:val="24"/>
          <w:szCs w:val="24"/>
        </w:rPr>
        <w:t>表3    区域成交额增长对比表   （单位：万元）</w:t>
      </w:r>
    </w:p>
    <w:tbl>
      <w:tblPr>
        <w:tblStyle w:val="7"/>
        <w:tblW w:w="8222" w:type="dxa"/>
        <w:tblInd w:w="250" w:type="dxa"/>
        <w:tblLayout w:type="autofit"/>
        <w:tblCellMar>
          <w:top w:w="0" w:type="dxa"/>
          <w:left w:w="108" w:type="dxa"/>
          <w:bottom w:w="0" w:type="dxa"/>
          <w:right w:w="108" w:type="dxa"/>
        </w:tblCellMar>
      </w:tblPr>
      <w:tblGrid>
        <w:gridCol w:w="851"/>
        <w:gridCol w:w="1559"/>
        <w:gridCol w:w="1559"/>
        <w:gridCol w:w="1276"/>
        <w:gridCol w:w="1559"/>
        <w:gridCol w:w="1418"/>
      </w:tblGrid>
      <w:tr>
        <w:tblPrEx>
          <w:tblCellMar>
            <w:top w:w="0" w:type="dxa"/>
            <w:left w:w="108" w:type="dxa"/>
            <w:bottom w:w="0" w:type="dxa"/>
            <w:right w:w="108" w:type="dxa"/>
          </w:tblCellMar>
        </w:tblPrEx>
        <w:trPr>
          <w:trHeight w:val="285" w:hRule="atLeast"/>
        </w:trPr>
        <w:tc>
          <w:tcPr>
            <w:tcW w:w="851"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序号</w:t>
            </w:r>
          </w:p>
        </w:tc>
        <w:tc>
          <w:tcPr>
            <w:tcW w:w="1559"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地区</w:t>
            </w:r>
          </w:p>
        </w:tc>
        <w:tc>
          <w:tcPr>
            <w:tcW w:w="1559"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2021年4月</w:t>
            </w:r>
          </w:p>
        </w:tc>
        <w:tc>
          <w:tcPr>
            <w:tcW w:w="1276" w:type="dxa"/>
            <w:vMerge w:val="restart"/>
            <w:tcBorders>
              <w:top w:val="single" w:color="DBDBDB" w:sz="8" w:space="0"/>
              <w:left w:val="single" w:color="DBDBDB" w:sz="8" w:space="0"/>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比值(%)</w:t>
            </w:r>
          </w:p>
        </w:tc>
        <w:tc>
          <w:tcPr>
            <w:tcW w:w="2977" w:type="dxa"/>
            <w:gridSpan w:val="2"/>
            <w:tcBorders>
              <w:top w:val="single" w:color="DBDBDB" w:sz="8" w:space="0"/>
              <w:left w:val="nil"/>
              <w:bottom w:val="single" w:color="DBDBDB" w:sz="8" w:space="0"/>
              <w:right w:val="single" w:color="DBDBDB"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同比增长</w:t>
            </w:r>
          </w:p>
        </w:tc>
      </w:tr>
      <w:tr>
        <w:tblPrEx>
          <w:tblCellMar>
            <w:top w:w="0" w:type="dxa"/>
            <w:left w:w="108" w:type="dxa"/>
            <w:bottom w:w="0" w:type="dxa"/>
            <w:right w:w="108" w:type="dxa"/>
          </w:tblCellMar>
        </w:tblPrEx>
        <w:trPr>
          <w:trHeight w:val="555" w:hRule="atLeast"/>
        </w:trPr>
        <w:tc>
          <w:tcPr>
            <w:tcW w:w="851"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559"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559"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276" w:type="dxa"/>
            <w:vMerge w:val="continue"/>
            <w:tcBorders>
              <w:top w:val="single" w:color="DBDBDB" w:sz="8" w:space="0"/>
              <w:left w:val="single" w:color="DBDBDB" w:sz="8" w:space="0"/>
              <w:bottom w:val="single" w:color="DBDBDB" w:sz="8" w:space="0"/>
              <w:right w:val="single" w:color="DBDBDB" w:sz="8" w:space="0"/>
            </w:tcBorders>
            <w:vAlign w:val="center"/>
          </w:tcPr>
          <w:p>
            <w:pPr>
              <w:widowControl/>
              <w:jc w:val="center"/>
              <w:rPr>
                <w:rFonts w:ascii="宋体" w:hAnsi="宋体" w:cs="宋体"/>
                <w:b/>
                <w:bCs/>
                <w:color w:val="333333"/>
                <w:kern w:val="0"/>
                <w:szCs w:val="21"/>
              </w:rPr>
            </w:pPr>
          </w:p>
        </w:tc>
        <w:tc>
          <w:tcPr>
            <w:tcW w:w="1559" w:type="dxa"/>
            <w:tcBorders>
              <w:top w:val="nil"/>
              <w:left w:val="nil"/>
              <w:bottom w:val="single" w:color="DBDBDB" w:sz="8" w:space="0"/>
              <w:right w:val="single" w:color="E4E8EF"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2020年4月</w:t>
            </w:r>
          </w:p>
        </w:tc>
        <w:tc>
          <w:tcPr>
            <w:tcW w:w="1418" w:type="dxa"/>
            <w:tcBorders>
              <w:top w:val="nil"/>
              <w:left w:val="single" w:color="DBDBDB" w:sz="8" w:space="0"/>
              <w:bottom w:val="single" w:color="DBDBDB" w:sz="8" w:space="0"/>
              <w:right w:val="single" w:color="E4E8EF" w:sz="8" w:space="0"/>
            </w:tcBorders>
            <w:shd w:val="clear" w:color="000000" w:fill="E4E8EF"/>
            <w:vAlign w:val="center"/>
          </w:tcPr>
          <w:p>
            <w:pPr>
              <w:widowControl/>
              <w:jc w:val="center"/>
              <w:rPr>
                <w:rFonts w:ascii="宋体" w:hAnsi="宋体" w:cs="宋体"/>
                <w:b/>
                <w:bCs/>
                <w:color w:val="333333"/>
                <w:kern w:val="0"/>
                <w:szCs w:val="21"/>
              </w:rPr>
            </w:pPr>
            <w:r>
              <w:rPr>
                <w:rFonts w:hint="eastAsia" w:ascii="宋体" w:hAnsi="宋体" w:cs="宋体"/>
                <w:b/>
                <w:bCs/>
                <w:color w:val="333333"/>
                <w:kern w:val="0"/>
                <w:szCs w:val="21"/>
              </w:rPr>
              <w:t>增长率(%)</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全国</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6781240</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100</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5885257</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15.22</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河北省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1253649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18.49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711573</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76.18</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四川省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939792</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13.86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1031115</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-8.86</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安徽省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829229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12.23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641815</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29.2</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福建省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709688</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10.47</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1140657</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-37.78</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上海市</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494491</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7.29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363763</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35.94</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重庆市</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434358</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6.41</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57629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653.71</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山东省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321115</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4.74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132356</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142.61</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江苏省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273594</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4.03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107282</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155.02</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浙江省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270996</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178450</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51.86</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广东省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164563</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2.43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76310.1</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115.65</w:t>
            </w:r>
          </w:p>
        </w:tc>
      </w:tr>
      <w:tr>
        <w:tblPrEx>
          <w:tblCellMar>
            <w:top w:w="0" w:type="dxa"/>
            <w:left w:w="108" w:type="dxa"/>
            <w:bottom w:w="0" w:type="dxa"/>
            <w:right w:w="108" w:type="dxa"/>
          </w:tblCellMar>
        </w:tblPrEx>
        <w:trPr>
          <w:trHeight w:val="55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江西省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151148</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2.23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18576.2</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713.67</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河南省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118246</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39465.3</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199.62</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湖南省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116439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1.72</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115299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0.99</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湖北省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98833.9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1.46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379699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-73.97</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甘肃省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87636</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236209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-62.9</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贵州省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80457.1</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16709.5</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381.51</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云南省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62712</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0.92</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146084</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-57.07</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陕西省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54474.2</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77949.9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-30.12</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北京市</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46261.9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0.68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47692.2</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20</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广西区自治区</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44599.5</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0.66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73579.1</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-39.39</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21</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海南省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39761.8</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0.59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53223.9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-25.29</w:t>
            </w:r>
          </w:p>
        </w:tc>
      </w:tr>
      <w:tr>
        <w:tblPrEx>
          <w:tblCellMar>
            <w:top w:w="0" w:type="dxa"/>
            <w:left w:w="108" w:type="dxa"/>
            <w:bottom w:w="0" w:type="dxa"/>
            <w:right w:w="108" w:type="dxa"/>
          </w:tblCellMar>
        </w:tblPrEx>
        <w:trPr>
          <w:trHeight w:val="55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22</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辽宁省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39476.7</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0.58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48369.3</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-18.38</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新疆区自治区</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33600.3</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0.5</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94874.3</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-64.58</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宁夏自治区</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29022</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0.43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8606.49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237.21</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25</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内蒙古</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20071.1</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0.3</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30411.2</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-34</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黑龙江</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17379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0.26</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8962.32</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93.91</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27</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青海省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16487.3</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0.24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1721.49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857.73</w:t>
            </w:r>
          </w:p>
        </w:tc>
      </w:tr>
      <w:tr>
        <w:tblPrEx>
          <w:tblCellMar>
            <w:top w:w="0" w:type="dxa"/>
            <w:left w:w="108" w:type="dxa"/>
            <w:bottom w:w="0" w:type="dxa"/>
            <w:right w:w="108" w:type="dxa"/>
          </w:tblCellMar>
        </w:tblPrEx>
        <w:trPr>
          <w:trHeight w:val="55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吉林省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12482.9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0.18</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14052.4</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-11.17</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29</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天津市</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9799.19</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0.14</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3874.22</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152.93</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30</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山西省</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7352.83</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0.11</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25739</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-71.43</w:t>
            </w:r>
          </w:p>
        </w:tc>
      </w:tr>
      <w:tr>
        <w:tblPrEx>
          <w:tblCellMar>
            <w:top w:w="0" w:type="dxa"/>
            <w:left w:w="108" w:type="dxa"/>
            <w:bottom w:w="0" w:type="dxa"/>
            <w:right w:w="108" w:type="dxa"/>
          </w:tblCellMar>
        </w:tblPrEx>
        <w:trPr>
          <w:trHeight w:val="28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31</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新疆兵团</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3524.47</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0.05</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1009.47</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249.14</w:t>
            </w:r>
          </w:p>
        </w:tc>
      </w:tr>
      <w:tr>
        <w:tblPrEx>
          <w:tblCellMar>
            <w:top w:w="0" w:type="dxa"/>
            <w:left w:w="108" w:type="dxa"/>
            <w:bottom w:w="0" w:type="dxa"/>
            <w:right w:w="108" w:type="dxa"/>
          </w:tblCellMar>
        </w:tblPrEx>
        <w:trPr>
          <w:trHeight w:val="555" w:hRule="atLeast"/>
        </w:trPr>
        <w:tc>
          <w:tcPr>
            <w:tcW w:w="851" w:type="dxa"/>
            <w:tcBorders>
              <w:top w:val="nil"/>
              <w:left w:val="single" w:color="DBDBDB" w:sz="8" w:space="0"/>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32</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西藏区自治区</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w:t>
            </w:r>
          </w:p>
        </w:tc>
        <w:tc>
          <w:tcPr>
            <w:tcW w:w="1276"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0</w:t>
            </w:r>
          </w:p>
        </w:tc>
        <w:tc>
          <w:tcPr>
            <w:tcW w:w="1559"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2199.4</w:t>
            </w:r>
          </w:p>
        </w:tc>
        <w:tc>
          <w:tcPr>
            <w:tcW w:w="1418" w:type="dxa"/>
            <w:tcBorders>
              <w:top w:val="nil"/>
              <w:left w:val="nil"/>
              <w:bottom w:val="single" w:color="DBDBDB" w:sz="8" w:space="0"/>
              <w:right w:val="single" w:color="DBDBDB" w:sz="8" w:space="0"/>
            </w:tcBorders>
            <w:shd w:val="clear" w:color="000000" w:fill="F7F7F7"/>
            <w:vAlign w:val="center"/>
          </w:tcPr>
          <w:p>
            <w:pPr>
              <w:jc w:val="center"/>
              <w:rPr>
                <w:rFonts w:ascii="微软雅黑" w:hAnsi="微软雅黑" w:eastAsia="微软雅黑" w:cs="宋体"/>
                <w:color w:val="000000"/>
                <w:szCs w:val="21"/>
              </w:rPr>
            </w:pPr>
            <w:r>
              <w:rPr>
                <w:rFonts w:hint="eastAsia" w:ascii="微软雅黑" w:hAnsi="微软雅黑" w:eastAsia="微软雅黑"/>
                <w:color w:val="000000"/>
                <w:szCs w:val="21"/>
              </w:rPr>
              <w:t>-100</w:t>
            </w:r>
          </w:p>
        </w:tc>
      </w:tr>
    </w:tbl>
    <w:p>
      <w:pPr>
        <w:spacing w:beforeLines="50"/>
        <w:ind w:firstLine="560" w:firstLineChars="200"/>
        <w:rPr>
          <w:rFonts w:hint="eastAsia" w:ascii="宋体" w:hAnsi="宋体" w:eastAsia="宋体" w:cs="宋体"/>
          <w:sz w:val="28"/>
          <w:szCs w:val="28"/>
        </w:rPr>
      </w:pPr>
      <w:r>
        <w:rPr>
          <w:rFonts w:hint="eastAsia" w:ascii="宋体" w:hAnsi="宋体" w:eastAsia="宋体" w:cs="宋体"/>
          <w:sz w:val="28"/>
          <w:szCs w:val="28"/>
        </w:rPr>
        <w:t>上述地区拍卖成交额排名情况仍然反映了传统的行业发展布局，冀、川、皖、闵四省仍然保持行业成交额前四位置及月度成交额破50亿元的记录；在西部地区中，重庆、贵州、云南则保持了成交额上升的势头。</w:t>
      </w:r>
    </w:p>
    <w:p>
      <w:pPr>
        <w:spacing w:beforeLines="100" w:afterLines="50"/>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五、行业效益及社会贡献</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4月份，全行业拍卖佣金收入3.87亿元，同比增长19.51%；月度平均佣金率0.57%，同比下降了0.04个百分点。</w:t>
      </w:r>
    </w:p>
    <w:p>
      <w:pPr>
        <w:ind w:firstLine="560" w:firstLineChars="200"/>
        <w:rPr>
          <w:rFonts w:hint="eastAsia" w:ascii="宋体" w:hAnsi="宋体" w:eastAsia="宋体" w:cs="宋体"/>
          <w:color w:val="333333"/>
          <w:sz w:val="28"/>
          <w:szCs w:val="28"/>
        </w:rPr>
      </w:pPr>
      <w:r>
        <w:rPr>
          <w:rFonts w:hint="eastAsia" w:ascii="宋体" w:hAnsi="宋体" w:eastAsia="宋体" w:cs="宋体"/>
          <w:sz w:val="28"/>
          <w:szCs w:val="28"/>
        </w:rPr>
        <w:t>4月份，全行业</w:t>
      </w:r>
      <w:r>
        <w:rPr>
          <w:rFonts w:hint="eastAsia" w:ascii="宋体" w:hAnsi="宋体" w:eastAsia="宋体" w:cs="宋体"/>
          <w:color w:val="333333"/>
          <w:sz w:val="28"/>
          <w:szCs w:val="28"/>
        </w:rPr>
        <w:t>主营业务利润2.19亿元，同比增幅25.41%；缴纳增值税金3570万元。</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上述基本经济指标反映了行业效益及盈利能力进一步增强，但是应该看到行业的平均佣金率正在下降。</w:t>
      </w:r>
    </w:p>
    <w:p>
      <w:pPr>
        <w:jc w:val="both"/>
        <w:rPr>
          <w:rFonts w:hint="eastAsia" w:ascii="宋体" w:hAnsi="宋体" w:eastAsia="宋体" w:cs="宋体"/>
          <w:b/>
          <w:bCs/>
          <w:sz w:val="32"/>
          <w:szCs w:val="32"/>
          <w:lang w:val="en-US" w:eastAsia="zh-CN"/>
        </w:rPr>
      </w:pPr>
    </w:p>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培训需求调查问卷</w:t>
      </w:r>
    </w:p>
    <w:p>
      <w:pPr>
        <w:rPr>
          <w:rFonts w:hint="eastAsia" w:ascii="宋体" w:hAnsi="宋体" w:eastAsia="宋体" w:cs="宋体"/>
          <w:sz w:val="28"/>
          <w:szCs w:val="28"/>
        </w:rPr>
      </w:pPr>
      <w:r>
        <w:rPr>
          <w:rFonts w:hint="eastAsia" w:ascii="宋体" w:hAnsi="宋体" w:eastAsia="宋体" w:cs="宋体"/>
          <w:sz w:val="28"/>
          <w:szCs w:val="28"/>
          <w:lang w:val="en-US" w:eastAsia="zh-CN"/>
        </w:rPr>
        <w:t>各会员企业、拍卖师：</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为了更好的匹配各企业和拍卖师的培训需求，使得内蒙古拍卖行业年度培训更具有针对性和实用性，切实的帮助到企业和拍卖师在经营和拍卖中遇到的难点和疑惑，特附上本调查问卷，请惠予宝贵意见。协会将在对您的反馈进行细致分析的基础上，结合协会年初培训目标制定最新的培训计划。您的信息、意见和建议将得到充分的尊重。我们将对您提供的信息严格保密。请于5月21日前填妥发送至内蒙古拍卖行业协会邮箱（</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"http://www.nmpx.cn/eWebeditor/nmgpmxh@126."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rPr>
        <w:t>nmgpmxh@126.com</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)，以便整理统计。感谢您的协助与支持，并祝万事顺意！</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联系电话：0471-6935861</w:t>
      </w:r>
    </w:p>
    <w:p>
      <w:pPr>
        <w:ind w:firstLine="560" w:firstLineChars="200"/>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内蒙古拍卖行业协会</w:t>
      </w:r>
    </w:p>
    <w:p>
      <w:pPr>
        <w:ind w:firstLine="560" w:firstLineChars="200"/>
        <w:jc w:val="right"/>
        <w:rPr>
          <w:rFonts w:hint="eastAsia" w:ascii="宋体" w:hAnsi="宋体" w:eastAsia="宋体" w:cs="宋体"/>
          <w:b/>
          <w:bCs w:val="0"/>
          <w:i w:val="0"/>
          <w:iCs w:val="0"/>
          <w:caps w:val="0"/>
          <w:color w:val="auto"/>
          <w:spacing w:val="0"/>
          <w:kern w:val="0"/>
          <w:sz w:val="32"/>
          <w:szCs w:val="32"/>
          <w:u w:val="none"/>
          <w:lang w:val="en-US" w:eastAsia="zh-CN" w:bidi="ar"/>
        </w:rPr>
      </w:pPr>
      <w:r>
        <w:rPr>
          <w:rFonts w:hint="eastAsia" w:ascii="宋体" w:hAnsi="宋体" w:eastAsia="宋体" w:cs="宋体"/>
          <w:sz w:val="28"/>
          <w:szCs w:val="28"/>
          <w:lang w:val="en-US" w:eastAsia="zh-CN"/>
        </w:rPr>
        <w:t xml:space="preserve">                     2021年5月17日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
      <w:pPr>
        <w:jc w:val="center"/>
        <w:rPr>
          <w:b/>
          <w:bCs/>
          <w:sz w:val="32"/>
          <w:szCs w:val="32"/>
        </w:rPr>
      </w:pPr>
      <w:r>
        <w:rPr>
          <w:rFonts w:hint="eastAsia"/>
          <w:b/>
          <w:bCs/>
          <w:sz w:val="32"/>
          <w:szCs w:val="32"/>
        </w:rPr>
        <w:t>内蒙古拍卖行业协会获得</w:t>
      </w:r>
    </w:p>
    <w:p>
      <w:pPr>
        <w:jc w:val="center"/>
        <w:rPr>
          <w:b/>
          <w:bCs/>
          <w:sz w:val="32"/>
          <w:szCs w:val="32"/>
        </w:rPr>
      </w:pPr>
      <w:r>
        <w:rPr>
          <w:rFonts w:hint="eastAsia"/>
          <w:b/>
          <w:bCs/>
          <w:sz w:val="32"/>
          <w:szCs w:val="32"/>
        </w:rPr>
        <w:t>“社会组织评估3A等级”荣誉称号</w:t>
      </w:r>
    </w:p>
    <w:p>
      <w:pPr>
        <w:rPr>
          <w:sz w:val="28"/>
          <w:szCs w:val="28"/>
        </w:rPr>
      </w:pPr>
    </w:p>
    <w:p>
      <w:pPr>
        <w:ind w:firstLine="560" w:firstLineChars="200"/>
        <w:rPr>
          <w:sz w:val="28"/>
          <w:szCs w:val="28"/>
        </w:rPr>
      </w:pPr>
      <w:r>
        <w:rPr>
          <w:rFonts w:hint="eastAsia"/>
          <w:sz w:val="28"/>
          <w:szCs w:val="28"/>
        </w:rPr>
        <w:t>内蒙古拍卖行业协会在民政厅组织的2020年度社会组织等级评估中，经内蒙古自治区社会组织评估委员会审核，最终获得了3A等级。</w:t>
      </w:r>
    </w:p>
    <w:p>
      <w:pPr>
        <w:ind w:firstLine="560" w:firstLineChars="200"/>
        <w:rPr>
          <w:sz w:val="28"/>
          <w:szCs w:val="28"/>
        </w:rPr>
      </w:pPr>
      <w:r>
        <w:rPr>
          <w:rFonts w:hint="eastAsia"/>
          <w:sz w:val="28"/>
          <w:szCs w:val="28"/>
        </w:rPr>
        <w:t>感谢各会员企业及拍卖师一直以来对协会工作的大力支持，协会也必将在今后的工作中展现新作为，取得新成绩。</w:t>
      </w:r>
    </w:p>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r>
        <w:rPr>
          <w:rFonts w:hint="eastAsia"/>
          <w:sz w:val="28"/>
          <w:szCs w:val="28"/>
        </w:rPr>
        <w:drawing>
          <wp:anchor distT="0" distB="0" distL="114300" distR="114300" simplePos="0" relativeHeight="251661312" behindDoc="0" locked="0" layoutInCell="1" allowOverlap="1">
            <wp:simplePos x="0" y="0"/>
            <wp:positionH relativeFrom="column">
              <wp:posOffset>885825</wp:posOffset>
            </wp:positionH>
            <wp:positionV relativeFrom="page">
              <wp:posOffset>3886200</wp:posOffset>
            </wp:positionV>
            <wp:extent cx="3672205" cy="5215890"/>
            <wp:effectExtent l="0" t="0" r="3810" b="4445"/>
            <wp:wrapNone/>
            <wp:docPr id="6" name="图片 6" descr="C:/Users/Administrator/AppData/Local/Temp/picturescale_20210707140416/output_20210707140417.jpgoutput_2021070714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AppData/Local/Temp/picturescale_20210707140416/output_20210707140417.jpgoutput_20210707140417"/>
                    <pic:cNvPicPr>
                      <a:picLocks noChangeAspect="1"/>
                    </pic:cNvPicPr>
                  </pic:nvPicPr>
                  <pic:blipFill>
                    <a:blip r:embed="rId11" cstate="print"/>
                    <a:srcRect b="8252"/>
                    <a:stretch>
                      <a:fillRect/>
                    </a:stretch>
                  </pic:blipFill>
                  <pic:spPr>
                    <a:xfrm rot="16200000">
                      <a:off x="0" y="0"/>
                      <a:ext cx="3672205" cy="5215890"/>
                    </a:xfrm>
                    <a:prstGeom prst="rect">
                      <a:avLst/>
                    </a:prstGeom>
                  </pic:spPr>
                </pic:pic>
              </a:graphicData>
            </a:graphic>
          </wp:anchor>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r>
        <w:rPr>
          <w:rFonts w:hint="eastAsia" w:ascii="宋体" w:hAnsi="宋体" w:eastAsia="宋体" w:cs="宋体"/>
          <w:b/>
          <w:bCs w:val="0"/>
          <w:i w:val="0"/>
          <w:iCs w:val="0"/>
          <w:caps w:val="0"/>
          <w:color w:val="auto"/>
          <w:spacing w:val="0"/>
          <w:kern w:val="0"/>
          <w:sz w:val="32"/>
          <w:szCs w:val="32"/>
          <w:u w:val="none"/>
          <w:lang w:val="en-US" w:eastAsia="zh-CN" w:bidi="ar"/>
        </w:rPr>
        <w:t>溢价率160%成交，通达拍卖助力国有资产处置提质增效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val="0"/>
          <w:i w:val="0"/>
          <w:iCs w:val="0"/>
          <w:caps w:val="0"/>
          <w:color w:val="auto"/>
          <w:spacing w:val="0"/>
          <w:kern w:val="0"/>
          <w:sz w:val="32"/>
          <w:szCs w:val="32"/>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60" w:firstLineChars="200"/>
        <w:jc w:val="left"/>
        <w:rPr>
          <w:rFonts w:hint="eastAsia" w:ascii="宋体" w:hAnsi="宋体" w:eastAsia="宋体" w:cs="宋体"/>
          <w:b w:val="0"/>
          <w:bCs w:val="0"/>
          <w:color w:val="auto"/>
          <w:sz w:val="28"/>
          <w:szCs w:val="28"/>
        </w:rPr>
      </w:pPr>
      <w:r>
        <w:rPr>
          <w:rFonts w:hint="eastAsia" w:ascii="宋体" w:hAnsi="宋体" w:eastAsia="宋体" w:cs="宋体"/>
          <w:b w:val="0"/>
          <w:bCs w:val="0"/>
          <w:i w:val="0"/>
          <w:iCs w:val="0"/>
          <w:caps w:val="0"/>
          <w:color w:val="auto"/>
          <w:spacing w:val="0"/>
          <w:kern w:val="0"/>
          <w:sz w:val="28"/>
          <w:szCs w:val="28"/>
          <w:u w:val="none"/>
          <w:lang w:val="en-US" w:eastAsia="zh-CN" w:bidi="ar"/>
        </w:rPr>
        <w:t>2021年5月10日上午，奈曼旗财政局委托内蒙古通达拍卖公司拍卖位于通辽市奈曼旗大沁他拉镇奈曼大街西段北侧，奈曼旗大沁他拉国有苗圃所有的房产及土地增值126.6万元，通达拍卖公司根据本次拍品的特点，选用中拍平台作为线上拍卖平台，同时进行线下推广及现场宣传，房产及土地起拍价为790000元，经过3名竞拍人53次的竞价，最终以2056000元的价格成交，超出起拍价1266000元，溢价率达160%。本次网络上拍卖，为公众营造了良好的竞拍环境，增加了竞拍参与的机会，突破了地域的限制，让竞买人足不出户，动动鼠标就可以充分的了解拍品的信息和价格，由于参拍人数没有限制，大大增加了竞拍机率的同时，切实为本次国有资产处置提质增效，有力地彰显了通达拍卖公司业务模式创新的成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60" w:firstLineChars="200"/>
        <w:jc w:val="left"/>
        <w:rPr>
          <w:rFonts w:hint="eastAsia" w:ascii="宋体" w:hAnsi="宋体" w:eastAsia="宋体" w:cs="宋体"/>
          <w:b w:val="0"/>
          <w:bCs w:val="0"/>
          <w:color w:val="auto"/>
          <w:sz w:val="28"/>
          <w:szCs w:val="28"/>
        </w:rPr>
      </w:pPr>
      <w:r>
        <w:rPr>
          <w:rFonts w:hint="eastAsia" w:ascii="宋体" w:hAnsi="宋体" w:eastAsia="宋体" w:cs="宋体"/>
          <w:b w:val="0"/>
          <w:bCs w:val="0"/>
          <w:i w:val="0"/>
          <w:iCs w:val="0"/>
          <w:caps w:val="0"/>
          <w:color w:val="auto"/>
          <w:spacing w:val="0"/>
          <w:kern w:val="0"/>
          <w:sz w:val="28"/>
          <w:szCs w:val="28"/>
          <w:u w:val="none"/>
          <w:lang w:val="en-US" w:eastAsia="zh-CN" w:bidi="ar"/>
        </w:rPr>
        <w:t>国有资产处置中，拍卖是最能体现市场化运作的阳光交易手段。拍卖公司作为独立的社会中介服务机构，按照《拍卖法》及相关法律依法办事，承担法律责任，以多年来积累的宝贵客户资源以及网络拍卖途径等多种有效的方式对拍卖标的进行社会公开的宣传招商，以专业的操作流程，力求达到“信息对称化、公开化”。国有资产（集体资产、抵贷资产）处置走拍卖这条“阳光大道”，能避免内幕操作、暗箱操作，通过严格审查竞买人竞买资格，制定相应的竞买人资质审查制度，就能使国有资产价值最大化，良好的维护资产所有人的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60" w:firstLineChars="200"/>
        <w:jc w:val="left"/>
        <w:rPr>
          <w:rFonts w:hint="eastAsia" w:ascii="宋体" w:hAnsi="宋体" w:eastAsia="宋体" w:cs="宋体"/>
          <w:b w:val="0"/>
          <w:bCs w:val="0"/>
          <w:i w:val="0"/>
          <w:iCs w:val="0"/>
          <w:caps w:val="0"/>
          <w:color w:val="auto"/>
          <w:spacing w:val="0"/>
          <w:kern w:val="0"/>
          <w:sz w:val="28"/>
          <w:szCs w:val="28"/>
          <w:u w:val="none"/>
          <w:lang w:val="en-US" w:eastAsia="zh-CN" w:bidi="ar"/>
        </w:rPr>
      </w:pPr>
      <w:r>
        <w:rPr>
          <w:rFonts w:hint="eastAsia" w:ascii="宋体" w:hAnsi="宋体" w:eastAsia="宋体" w:cs="宋体"/>
          <w:b w:val="0"/>
          <w:bCs w:val="0"/>
          <w:i w:val="0"/>
          <w:iCs w:val="0"/>
          <w:caps w:val="0"/>
          <w:color w:val="auto"/>
          <w:spacing w:val="0"/>
          <w:kern w:val="0"/>
          <w:sz w:val="28"/>
          <w:szCs w:val="28"/>
          <w:u w:val="none"/>
          <w:lang w:val="en-US" w:eastAsia="zh-CN" w:bidi="ar"/>
        </w:rPr>
        <w:t>在国有资产处置的市场化运作中，拍卖是最适合市场化运作的高效可行手段，是我们利用市场配置资源的重要途径，可有效提高资产的价值。通达拍卖采用传统拍卖与网络拍卖相结合的“线上+线下”模式，真诚、高效服务于广大客户，此次成功助力国有资产处置大幅增值，同时有效降低了委托方的资产处置成本，节省了大量的人力、物力、财力，最大限度的保障了所有者的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left"/>
        <w:rPr>
          <w:rFonts w:hint="eastAsia" w:ascii="宋体" w:hAnsi="宋体" w:eastAsia="宋体" w:cs="宋体"/>
          <w:b/>
          <w:bCs/>
          <w:i w:val="0"/>
          <w:iCs w:val="0"/>
          <w:caps w:val="0"/>
          <w:color w:val="333333"/>
          <w:spacing w:val="15"/>
          <w:sz w:val="32"/>
          <w:szCs w:val="32"/>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left"/>
        <w:rPr>
          <w:rFonts w:hint="eastAsia" w:ascii="Microsoft YaHei UI" w:hAnsi="Microsoft YaHei UI" w:eastAsia="Microsoft YaHei UI" w:cs="Microsoft YaHei UI"/>
          <w:i w:val="0"/>
          <w:iCs w:val="0"/>
          <w:caps w:val="0"/>
          <w:color w:val="333333"/>
          <w:spacing w:val="15"/>
          <w:sz w:val="22"/>
          <w:szCs w:val="22"/>
          <w:shd w:val="clear" w:fill="FFFFFF"/>
        </w:rPr>
      </w:pPr>
      <w:r>
        <w:rPr>
          <w:rFonts w:hint="eastAsia" w:ascii="宋体" w:hAnsi="宋体" w:eastAsia="宋体" w:cs="宋体"/>
          <w:b/>
          <w:bCs/>
          <w:i w:val="0"/>
          <w:iCs w:val="0"/>
          <w:caps w:val="0"/>
          <w:color w:val="333333"/>
          <w:spacing w:val="15"/>
          <w:sz w:val="32"/>
          <w:szCs w:val="32"/>
          <w:shd w:val="clear" w:fill="FFFFFF"/>
        </w:rPr>
        <w:t>与“网红拍卖师”陈良玲，聊聊她的“兼职”故事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Microsoft YaHei UI" w:hAnsi="Microsoft YaHei UI" w:eastAsia="Microsoft YaHei UI" w:cs="Microsoft YaHei UI"/>
          <w:i w:val="0"/>
          <w:iCs w:val="0"/>
          <w:caps w:val="0"/>
          <w:color w:val="333333"/>
          <w:spacing w:val="15"/>
          <w:sz w:val="22"/>
          <w:szCs w:val="22"/>
          <w:shd w:val="clear" w:fill="FFFFFF"/>
        </w:rPr>
        <w:t>“</w:t>
      </w:r>
      <w:r>
        <w:rPr>
          <w:rFonts w:hint="eastAsia" w:ascii="宋体" w:hAnsi="宋体" w:eastAsia="宋体" w:cs="宋体"/>
          <w:i w:val="0"/>
          <w:iCs w:val="0"/>
          <w:caps w:val="0"/>
          <w:color w:val="333333"/>
          <w:spacing w:val="15"/>
          <w:sz w:val="28"/>
          <w:szCs w:val="28"/>
          <w:shd w:val="clear" w:fill="FFFFFF"/>
        </w:rPr>
        <w:t>Telephone give a deal online，5500万，最后一次，55 million well done 8607！”早前春拍大战，一段关于明末清初黄花梨麒麟纹圈背交椅（6597.6万港元成交，晋身最贵交椅）成交时刻的视频在网上走红，一起出圈的还有此场执槌的</w:t>
      </w:r>
      <w:r>
        <w:rPr>
          <w:rStyle w:val="9"/>
          <w:rFonts w:hint="eastAsia" w:ascii="宋体" w:hAnsi="宋体" w:eastAsia="宋体" w:cs="宋体"/>
          <w:i w:val="0"/>
          <w:iCs w:val="0"/>
          <w:caps w:val="0"/>
          <w:color w:val="7A4442"/>
          <w:spacing w:val="15"/>
          <w:sz w:val="28"/>
          <w:szCs w:val="28"/>
          <w:shd w:val="clear" w:fill="FFFFFF"/>
        </w:rPr>
        <w:t>拍卖师陈良玲</w:t>
      </w:r>
      <w:r>
        <w:rPr>
          <w:rFonts w:hint="eastAsia" w:ascii="宋体" w:hAnsi="宋体" w:eastAsia="宋体" w:cs="宋体"/>
          <w:i w:val="0"/>
          <w:iCs w:val="0"/>
          <w:caps w:val="0"/>
          <w:color w:val="333333"/>
          <w:spacing w:val="15"/>
          <w:sz w:val="28"/>
          <w:szCs w:val="28"/>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拍卖台上，她身着一袭旗袍，端庄优雅，一口流利的普通话与纯正英语，游刃有余，不疾不徐，举手投足尽显东方女性的知性温婉与利落大方。对众多买家而言，观看她的拍卖，让竞投不再那么焦灼，甚至成为一件赏心乐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i w:val="0"/>
          <w:iCs w:val="0"/>
          <w:caps w:val="0"/>
          <w:color w:val="333333"/>
          <w:spacing w:val="8"/>
          <w:sz w:val="28"/>
          <w:szCs w:val="28"/>
        </w:rPr>
      </w:pPr>
      <w:r>
        <w:rPr>
          <w:rFonts w:hint="eastAsia" w:ascii="宋体" w:hAnsi="宋体" w:eastAsia="宋体" w:cs="宋体"/>
          <w:spacing w:val="15"/>
          <w:kern w:val="0"/>
          <w:sz w:val="28"/>
          <w:szCs w:val="28"/>
          <w:lang w:val="en-US" w:eastAsia="zh-CN" w:bidi="ar"/>
        </w:rPr>
        <w:drawing>
          <wp:inline distT="0" distB="0" distL="114300" distR="114300">
            <wp:extent cx="4972050" cy="3315335"/>
            <wp:effectExtent l="0" t="0" r="0" b="18415"/>
            <wp:docPr id="1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6"/>
                    <pic:cNvPicPr>
                      <a:picLocks noChangeAspect="1"/>
                    </pic:cNvPicPr>
                  </pic:nvPicPr>
                  <pic:blipFill>
                    <a:blip r:embed="rId12"/>
                    <a:stretch>
                      <a:fillRect/>
                    </a:stretch>
                  </pic:blipFill>
                  <pic:spPr>
                    <a:xfrm>
                      <a:off x="0" y="0"/>
                      <a:ext cx="4972050" cy="3315335"/>
                    </a:xfrm>
                    <a:prstGeom prst="rect">
                      <a:avLst/>
                    </a:prstGeom>
                    <a:noFill/>
                    <a:ln w="9525">
                      <a:noFill/>
                    </a:ln>
                  </pic:spPr>
                </pic:pic>
              </a:graphicData>
            </a:graphic>
          </wp:inline>
        </w:drawing>
      </w:r>
      <w:r>
        <w:rPr>
          <w:rFonts w:hint="eastAsia" w:ascii="宋体" w:hAnsi="宋体" w:eastAsia="宋体" w:cs="宋体"/>
          <w:color w:val="888888"/>
          <w:spacing w:val="15"/>
          <w:kern w:val="0"/>
          <w:sz w:val="28"/>
          <w:szCs w:val="28"/>
          <w:lang w:val="en-US" w:eastAsia="zh-CN" w:bidi="ar"/>
        </w:rPr>
        <w:t>佳士得香港副总裁陈良玲</w:t>
      </w:r>
      <w:r>
        <w:rPr>
          <w:rFonts w:hint="eastAsia" w:ascii="宋体" w:hAnsi="宋体" w:eastAsia="宋体" w:cs="宋体"/>
          <w:kern w:val="0"/>
          <w:sz w:val="28"/>
          <w:szCs w:val="28"/>
          <w:lang w:val="en-US" w:eastAsia="zh-CN" w:bidi="ar"/>
        </w:rPr>
        <w:br w:type="textWrapping"/>
      </w:r>
      <w:r>
        <w:rPr>
          <w:rFonts w:hint="eastAsia" w:ascii="宋体" w:hAnsi="宋体" w:eastAsia="宋体" w:cs="宋体"/>
          <w:spacing w:val="15"/>
          <w:kern w:val="0"/>
          <w:sz w:val="28"/>
          <w:szCs w:val="28"/>
          <w:lang w:val="en-US" w:eastAsia="zh-CN" w:bidi="ar"/>
        </w:rPr>
        <w:t>她绝对是明明可以靠颜值，却偏偏靠实力的典型。此次作为“拍卖师”走红的陈良玲，其主职是</w:t>
      </w:r>
      <w:r>
        <w:rPr>
          <w:rStyle w:val="9"/>
          <w:rFonts w:hint="eastAsia" w:ascii="宋体" w:hAnsi="宋体" w:eastAsia="宋体" w:cs="宋体"/>
          <w:color w:val="AB1942"/>
          <w:spacing w:val="15"/>
          <w:kern w:val="0"/>
          <w:sz w:val="28"/>
          <w:szCs w:val="28"/>
          <w:lang w:val="en-US" w:eastAsia="zh-CN" w:bidi="ar"/>
        </w:rPr>
        <w:t>佳士得香港副总裁兼中国瓷器及艺术品部资深专家</w:t>
      </w:r>
      <w:r>
        <w:rPr>
          <w:rFonts w:hint="eastAsia" w:ascii="宋体" w:hAnsi="宋体" w:eastAsia="宋体" w:cs="宋体"/>
          <w:spacing w:val="15"/>
          <w:kern w:val="0"/>
          <w:sz w:val="28"/>
          <w:szCs w:val="28"/>
          <w:lang w:val="en-US" w:eastAsia="zh-CN" w:bidi="ar"/>
        </w:rPr>
        <w:t>。为什么会“出圈”走红？落槌之后，本刊记者连线陈良玲女士，从这把最贵明式黄花梨交椅开始，聊聊她的“兼职拍卖师故事”，说说她对中西艺术的交融碰撞的看法，还有如何收藏中国古典艺术。</w:t>
      </w:r>
      <w:r>
        <w:rPr>
          <w:rFonts w:hint="eastAsia" w:ascii="宋体" w:hAnsi="宋体" w:eastAsia="宋体" w:cs="宋体"/>
          <w:kern w:val="0"/>
          <w:sz w:val="28"/>
          <w:szCs w:val="28"/>
          <w:lang w:val="en-US" w:eastAsia="zh-CN" w:bidi="ar"/>
        </w:rPr>
        <w:br w:type="textWrapping"/>
      </w:r>
      <w:r>
        <w:rPr>
          <w:rFonts w:hint="eastAsia" w:ascii="宋体" w:hAnsi="宋体" w:eastAsia="宋体" w:cs="宋体"/>
          <w:kern w:val="0"/>
          <w:sz w:val="28"/>
          <w:szCs w:val="28"/>
          <w:lang w:val="en-US" w:eastAsia="zh-CN" w:bidi="ar"/>
        </w:rPr>
        <w:drawing>
          <wp:inline distT="0" distB="0" distL="114300" distR="114300">
            <wp:extent cx="4986655" cy="3324860"/>
            <wp:effectExtent l="0" t="0" r="4445" b="8890"/>
            <wp:docPr id="11"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IMG_257"/>
                    <pic:cNvPicPr>
                      <a:picLocks noChangeAspect="1"/>
                    </pic:cNvPicPr>
                  </pic:nvPicPr>
                  <pic:blipFill>
                    <a:blip r:embed="rId13"/>
                    <a:stretch>
                      <a:fillRect/>
                    </a:stretch>
                  </pic:blipFill>
                  <pic:spPr>
                    <a:xfrm>
                      <a:off x="0" y="0"/>
                      <a:ext cx="4986655" cy="3324860"/>
                    </a:xfrm>
                    <a:prstGeom prst="rect">
                      <a:avLst/>
                    </a:prstGeom>
                    <a:noFill/>
                    <a:ln w="9525">
                      <a:noFill/>
                    </a:ln>
                  </pic:spPr>
                </pic:pic>
              </a:graphicData>
            </a:graphic>
          </wp:inline>
        </w:drawing>
      </w:r>
      <w:r>
        <w:rPr>
          <w:rFonts w:hint="eastAsia" w:ascii="宋体" w:hAnsi="宋体" w:eastAsia="宋体" w:cs="宋体"/>
          <w:color w:val="888888"/>
          <w:spacing w:val="15"/>
          <w:kern w:val="0"/>
          <w:sz w:val="28"/>
          <w:szCs w:val="28"/>
          <w:lang w:val="en-US" w:eastAsia="zh-CN" w:bidi="ar"/>
        </w:rPr>
        <w:t>“最贵交椅”成交瞬间，陈良玲执槌。</w:t>
      </w:r>
    </w:p>
    <w:p>
      <w:pPr>
        <w:keepNext w:val="0"/>
        <w:keepLines w:val="0"/>
        <w:widowControl/>
        <w:suppressLineNumbers w:val="0"/>
        <w:shd w:val="clear"/>
        <w:spacing w:after="240" w:afterAutospacing="0"/>
        <w:jc w:val="left"/>
        <w:rPr>
          <w:rFonts w:hint="eastAsia" w:ascii="宋体" w:hAnsi="宋体" w:eastAsia="宋体" w:cs="宋体"/>
          <w:i w:val="0"/>
          <w:iCs w:val="0"/>
          <w:caps w:val="0"/>
          <w:color w:val="333333"/>
          <w:spacing w:val="8"/>
          <w:sz w:val="28"/>
          <w:szCs w:val="28"/>
        </w:rPr>
      </w:pPr>
      <w:r>
        <w:rPr>
          <w:rStyle w:val="9"/>
          <w:rFonts w:hint="eastAsia" w:ascii="宋体" w:hAnsi="宋体" w:eastAsia="宋体" w:cs="宋体"/>
          <w:color w:val="D6A841"/>
          <w:spacing w:val="8"/>
          <w:kern w:val="0"/>
          <w:sz w:val="28"/>
          <w:szCs w:val="28"/>
          <w:lang w:val="en-US" w:eastAsia="zh-CN" w:bidi="ar"/>
        </w:rPr>
        <w:t> </w:t>
      </w:r>
      <w:r>
        <w:rPr>
          <w:rFonts w:hint="eastAsia" w:ascii="宋体" w:hAnsi="宋体" w:eastAsia="宋体" w:cs="宋体"/>
          <w:color w:val="000000"/>
          <w:spacing w:val="15"/>
          <w:kern w:val="0"/>
          <w:sz w:val="28"/>
          <w:szCs w:val="28"/>
          <w:lang w:val="en-US" w:eastAsia="zh-CN" w:bidi="ar"/>
        </w:rPr>
        <w:t>“网红拍卖师”原来是一名资深瓷器专家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此番“出圈”走红，陈良玲始料未及，但豁达看待被“围观”。“如果能透过这次视频的传播而让更多的人关注拍卖，长期来说，也利于艺术教育的推广，也算是好事一桩。”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出生中国台湾的陈良玲，</w:t>
      </w:r>
      <w:r>
        <w:rPr>
          <w:rStyle w:val="9"/>
          <w:rFonts w:hint="eastAsia" w:ascii="宋体" w:hAnsi="宋体" w:eastAsia="宋体" w:cs="宋体"/>
          <w:i w:val="0"/>
          <w:iCs w:val="0"/>
          <w:caps w:val="0"/>
          <w:color w:val="AB1942"/>
          <w:spacing w:val="15"/>
          <w:sz w:val="28"/>
          <w:szCs w:val="28"/>
          <w:shd w:val="clear" w:fill="FFFFFF"/>
        </w:rPr>
        <w:t>从小就浸泡在中国传统文化中</w:t>
      </w:r>
      <w:r>
        <w:rPr>
          <w:rFonts w:hint="eastAsia" w:ascii="宋体" w:hAnsi="宋体" w:eastAsia="宋体" w:cs="宋体"/>
          <w:i w:val="0"/>
          <w:iCs w:val="0"/>
          <w:caps w:val="0"/>
          <w:color w:val="333333"/>
          <w:spacing w:val="15"/>
          <w:sz w:val="28"/>
          <w:szCs w:val="28"/>
          <w:shd w:val="clear" w:fill="FFFFFF"/>
        </w:rPr>
        <w:t>。在她的描述中，母亲为她打开了艺术世界的大门。儿时一些最快乐的记忆，就是陪着母亲一同参观博物馆、欣赏表演，并看着她用宜兴紫砂壶悠闲地泡茶。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对陈良玲而言，对中国文化及艺术品的兴趣在很小时候就候萌生了。母亲时常带她去台北“故宫博物院”。幼小的她尽管什么也不懂，但母亲尽可能一边看一边为她介绍，指出一些重要藏品，如宋五大窑、珐琅彩、毛公鼎等等。到现在，她仍能清楚记得与母亲一起尝试在《溪山行旅图》中找范宽落款的情景。每次去台北“故宫博物院”，母亲都会帮她买一本台北“故宫博物院”出的适合幼儿的读物，到现在仍然放置在书架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inline distT="0" distB="0" distL="114300" distR="114300">
            <wp:extent cx="5438775" cy="3621405"/>
            <wp:effectExtent l="0" t="0" r="9525" b="17145"/>
            <wp:docPr id="13" name="图片 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IMG_259"/>
                    <pic:cNvPicPr>
                      <a:picLocks noChangeAspect="1"/>
                    </pic:cNvPicPr>
                  </pic:nvPicPr>
                  <pic:blipFill>
                    <a:blip r:embed="rId14"/>
                    <a:stretch>
                      <a:fillRect/>
                    </a:stretch>
                  </pic:blipFill>
                  <pic:spPr>
                    <a:xfrm>
                      <a:off x="0" y="0"/>
                      <a:ext cx="5438775" cy="362140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身兼多职的陈良玲</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喜爱中华文化的陈良玲，大学毕业后常利用空余时间担任台北”故宫博物院“导览志愿者，周而复始之下，她越来越确定自己真的很喜欢艺术品。经过很长一段时间的酝酿，陈良玲决定报名伦敦佳士得美术学院的课程。2009年，陈良玲于伦敦佳士得教育学院取得中国艺术史硕士学位，一年后加入佳士得香港中国瓷器及艺术品部，后转至纽约佳士得，于2013年返港。2014年开始参加佳士得拍卖官培训，2016年春季主持首场拍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真正踏上拍卖台感觉还蛮紧张的，我记得第一次拍卖，自己漏了整整一页的拍品。还有一次上台前才发现忘了带拍卖槌。”陈良玲谈及2017年刚出道的“糗事”掩嘴大笑，但两年后，她在2019年佳士得春拍中，将文征明的一件七言诗手卷以高出起拍价十几倍的价格拍出。（节选自中新社报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她经手过的那些重要拍品，或许大家都很有印象，比如那件“唐卡王”——2014年佳士得秋拍上的15世纪“明永乐御制红阎摩敌刺绣唐卡”，当年由刘益谦以超过3.48亿港元竞得。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inline distT="0" distB="0" distL="114300" distR="114300">
            <wp:extent cx="5310505" cy="8326755"/>
            <wp:effectExtent l="0" t="0" r="4445" b="17145"/>
            <wp:docPr id="3" name="图片 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0"/>
                    <pic:cNvPicPr>
                      <a:picLocks noChangeAspect="1"/>
                    </pic:cNvPicPr>
                  </pic:nvPicPr>
                  <pic:blipFill>
                    <a:blip r:embed="rId15"/>
                    <a:stretch>
                      <a:fillRect/>
                    </a:stretch>
                  </pic:blipFill>
                  <pic:spPr>
                    <a:xfrm>
                      <a:off x="0" y="0"/>
                      <a:ext cx="5310505" cy="8326755"/>
                    </a:xfrm>
                    <a:prstGeom prst="rect">
                      <a:avLst/>
                    </a:prstGeom>
                    <a:noFill/>
                    <a:ln w="9525">
                      <a:noFill/>
                    </a:ln>
                  </pic:spPr>
                </pic:pic>
              </a:graphicData>
            </a:graphic>
          </wp:inline>
        </w:drawing>
      </w:r>
      <w:r>
        <w:rPr>
          <w:rFonts w:hint="eastAsia" w:ascii="宋体" w:hAnsi="宋体" w:eastAsia="宋体" w:cs="宋体"/>
          <w:color w:val="888888"/>
          <w:spacing w:val="15"/>
          <w:kern w:val="0"/>
          <w:sz w:val="28"/>
          <w:szCs w:val="28"/>
          <w:lang w:val="en-US" w:eastAsia="zh-CN" w:bidi="ar"/>
        </w:rPr>
        <w:t>明永乐御制红阎摩敌刺绣唐卡成交价：3.4844亿港元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这次在抖音、小红书、微博、微信等网络平台火出圈的是她兼职身份拍卖师，其实她正职是香港佳士得中国瓷器及艺术品部的资深专家。</w:t>
      </w:r>
      <w:r>
        <w:rPr>
          <w:rStyle w:val="9"/>
          <w:rFonts w:hint="eastAsia" w:ascii="宋体" w:hAnsi="宋体" w:eastAsia="宋体" w:cs="宋体"/>
          <w:i w:val="0"/>
          <w:iCs w:val="0"/>
          <w:caps w:val="0"/>
          <w:color w:val="AB1942"/>
          <w:spacing w:val="15"/>
          <w:sz w:val="28"/>
          <w:szCs w:val="28"/>
          <w:shd w:val="clear" w:fill="FFFFFF"/>
        </w:rPr>
        <w:t>在瓷器方面，她最喜欢明清瓷器，特别是永乐青花和单色釉。</w:t>
      </w:r>
      <w:r>
        <w:rPr>
          <w:rFonts w:hint="eastAsia" w:ascii="宋体" w:hAnsi="宋体" w:eastAsia="宋体" w:cs="宋体"/>
          <w:i w:val="0"/>
          <w:iCs w:val="0"/>
          <w:caps w:val="0"/>
          <w:color w:val="333333"/>
          <w:spacing w:val="15"/>
          <w:sz w:val="28"/>
          <w:szCs w:val="28"/>
          <w:shd w:val="clear" w:fill="FFFFFF"/>
        </w:rPr>
        <w:t>作为一名瓷器及艺术品部的专家，陈良玲平时主要的工作是征件、估价，然后通过研究资料、流转记录、款识、过往出版和展览等信息，论述这一估价的合理性。为何会想当拍卖师，用她的原话是“帮助我们部门的瓷器寻到更高的应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作为专家，她懂得发掘拍品的价值，而作为拍卖师，她还能把拍品的价值告诉买家，这就是陈良玲的魅力所在。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inline distT="0" distB="0" distL="114300" distR="114300">
            <wp:extent cx="5072380" cy="3382010"/>
            <wp:effectExtent l="0" t="0" r="13970" b="8890"/>
            <wp:docPr id="4" name="图片 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IMG_261"/>
                    <pic:cNvPicPr>
                      <a:picLocks noChangeAspect="1"/>
                    </pic:cNvPicPr>
                  </pic:nvPicPr>
                  <pic:blipFill>
                    <a:blip r:embed="rId16"/>
                    <a:stretch>
                      <a:fillRect/>
                    </a:stretch>
                  </pic:blipFill>
                  <pic:spPr>
                    <a:xfrm>
                      <a:off x="0" y="0"/>
                      <a:ext cx="5072380" cy="3382010"/>
                    </a:xfrm>
                    <a:prstGeom prst="rect">
                      <a:avLst/>
                    </a:prstGeom>
                    <a:noFill/>
                    <a:ln w="9525">
                      <a:noFill/>
                    </a:ln>
                  </pic:spPr>
                </pic:pic>
              </a:graphicData>
            </a:graphic>
          </wp:inline>
        </w:drawing>
      </w:r>
      <w:r>
        <w:rPr>
          <w:rFonts w:hint="eastAsia" w:ascii="宋体" w:hAnsi="宋体" w:eastAsia="宋体" w:cs="宋体"/>
          <w:color w:val="888888"/>
          <w:spacing w:val="15"/>
          <w:kern w:val="0"/>
          <w:sz w:val="28"/>
          <w:szCs w:val="28"/>
          <w:lang w:val="en-US" w:eastAsia="zh-CN" w:bidi="ar"/>
        </w:rPr>
        <w:t>陈良玲举手投足尽显东方女性的知性温婉与利落大方</w:t>
      </w:r>
    </w:p>
    <w:p>
      <w:pPr>
        <w:keepNext w:val="0"/>
        <w:keepLines w:val="0"/>
        <w:widowControl/>
        <w:suppressLineNumbers w:val="0"/>
        <w:shd w:val="clear"/>
        <w:jc w:val="left"/>
        <w:rPr>
          <w:rFonts w:hint="eastAsia" w:ascii="宋体" w:hAnsi="宋体" w:eastAsia="宋体" w:cs="宋体"/>
          <w:i w:val="0"/>
          <w:iCs w:val="0"/>
          <w:caps w:val="0"/>
          <w:color w:val="333333"/>
          <w:spacing w:val="8"/>
          <w:sz w:val="28"/>
          <w:szCs w:val="28"/>
        </w:rPr>
      </w:pPr>
      <w:r>
        <w:rPr>
          <w:rFonts w:hint="eastAsia" w:ascii="宋体" w:hAnsi="宋体" w:eastAsia="宋体" w:cs="宋体"/>
          <w:color w:val="000000"/>
          <w:spacing w:val="15"/>
          <w:kern w:val="0"/>
          <w:sz w:val="28"/>
          <w:szCs w:val="28"/>
          <w:lang w:val="en-US" w:eastAsia="zh-CN" w:bidi="ar"/>
        </w:rPr>
        <w:t>对话陈良玲：如何收藏中国古典艺术？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收藏·拍卖》：不久之前拍出的这把最贵交椅，是明末清初黄花梨麒麟纹圈背交椅。据说现藏家于2002年在佳士得纽约拍卖中购得此把交椅，此前它由斯堪的纳维亚藏家珍藏近一个世纪之久。在您看来，中国的古典家具对于西方家居美学有何影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陈良玲：</w:t>
      </w:r>
      <w:r>
        <w:rPr>
          <w:rFonts w:hint="eastAsia" w:ascii="宋体" w:hAnsi="宋体" w:eastAsia="宋体" w:cs="宋体"/>
          <w:i w:val="0"/>
          <w:iCs w:val="0"/>
          <w:caps w:val="0"/>
          <w:color w:val="333333"/>
          <w:spacing w:val="15"/>
          <w:sz w:val="28"/>
          <w:szCs w:val="28"/>
          <w:shd w:val="clear" w:fill="FFFFFF"/>
        </w:rPr>
        <w:t>中国古典家具其实一直受到西方藏家的喜爱。中国古典家具的造型简约，线条流畅，看似光素无华，却妙藏玄机，带有一种东方文化的内敛及禅宗美学的色彩。这种特色不受限于时代及地域的范畴，因此，就算未曾接触过中国艺术品的西方人士，也能轻易地被中国家具的魅力所虏获。再者，中国古典家具结合了美学及实用性，这与西方二十世纪上半叶兴起的“包浩斯”概念相通。丹麦巨匠汉斯·韦格(Hans Wegner)就曾仿效中国的圈椅设计了名为《中国椅》的作品。而成立于80年代的中国古典家具博物馆，也是由一批受到中国家具之美感动的西方藏家所创立的。该博物馆的藏品于1997年于纽约佳士得拍卖，取得了空前的佳绩，为中国家具拍卖史上最著名的一场拍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inline distT="0" distB="0" distL="114300" distR="114300">
            <wp:extent cx="5169535" cy="6688455"/>
            <wp:effectExtent l="0" t="0" r="12065" b="17145"/>
            <wp:docPr id="5" name="图片 10"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IMG_263"/>
                    <pic:cNvPicPr>
                      <a:picLocks noChangeAspect="1"/>
                    </pic:cNvPicPr>
                  </pic:nvPicPr>
                  <pic:blipFill>
                    <a:blip r:embed="rId17"/>
                    <a:stretch>
                      <a:fillRect/>
                    </a:stretch>
                  </pic:blipFill>
                  <pic:spPr>
                    <a:xfrm>
                      <a:off x="0" y="0"/>
                      <a:ext cx="5169535" cy="668845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明末清初黄花梨麒麟纹圈背交椅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成交价：6597.6万港元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交椅是权力的象征，有第一把交椅的说法，多置于中堂显著位置。这件轰动圈内外的明代交椅，由黄花梨木制而成，无论工艺、造型、材质都非常经典。椅子圈曲线、弧度、柔和自如，有月牙扶手美称。扶手细节皆以铁错银饰件加固，两端出头，回转收尾，背板弯曲呈S形。两侧按窄角牙，背靠版雕塔刹纹。木材相接处，皆有铁包簪花。</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drawing>
          <wp:inline distT="0" distB="0" distL="114300" distR="114300">
            <wp:extent cx="5324475" cy="6889115"/>
            <wp:effectExtent l="0" t="0" r="9525" b="6985"/>
            <wp:docPr id="7" name="图片 11"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IMG_264"/>
                    <pic:cNvPicPr>
                      <a:picLocks noChangeAspect="1"/>
                    </pic:cNvPicPr>
                  </pic:nvPicPr>
                  <pic:blipFill>
                    <a:blip r:embed="rId18"/>
                    <a:stretch>
                      <a:fillRect/>
                    </a:stretch>
                  </pic:blipFill>
                  <pic:spPr>
                    <a:xfrm>
                      <a:off x="0" y="0"/>
                      <a:ext cx="5324475" cy="688911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明末清初黄花梨麒麟纹圈背交椅（局部）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《收藏·拍卖》：您执槌的专场诞生了史上最贵交椅。您认为中国古典家具的魅力是什么？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陈良玲：</w:t>
      </w:r>
      <w:r>
        <w:rPr>
          <w:rFonts w:hint="eastAsia" w:ascii="宋体" w:hAnsi="宋体" w:eastAsia="宋体" w:cs="宋体"/>
          <w:i w:val="0"/>
          <w:iCs w:val="0"/>
          <w:caps w:val="0"/>
          <w:color w:val="333333"/>
          <w:spacing w:val="15"/>
          <w:sz w:val="28"/>
          <w:szCs w:val="28"/>
          <w:shd w:val="clear" w:fill="FFFFFF"/>
        </w:rPr>
        <w:t>好的中国古典家具数量珍稀，而且每一件都是独一无二的，中国古典家具的灵魂是中国独创的榫卯结构，高超的工艺技术与具有前瞻性的简练美学相结合，不难理解为何它们可以受到来自全球藏家的瞩目。与其将古典家具市场的热潮视为一种复兴潮流，不如将它看作为一种古典美学超越了时代范畴的表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佳士得作为市场推手，过去二十多年来，一直引领着着中国古典家具的市场发展。自1988年Elegant Mansions文人主题专场拍卖开始，又陆续举办了多场标志性的中国古典家具拍卖，1996年中国古典家具博物馆珍藏拍卖、1997年Piccus 毕氏伉俪、、2015年安思远藏家具、2015年奉文堂收藏家具、2016年弗拉克斯家具珍藏、2020年黎氏家族家具珍藏等多场中国古典家具拍卖，创造了众多辉煌的成绩。2003年，香港佳士得拍卖了清康熙寿山石嵌人物雕空龙寿纹十二扇围屏，2358万港元成交，创下了当时中国家具的最高世界纪录；2013年纽约佳士得拍卖的明晚期至清十八世纪黄花梨架几案，4.52米独板制成，以908.375万美元成交，约合5600多万人民币，到目前仍为黄花梨案类家具历年拍卖第一。2015年，纽约佳士得拍卖的安思远旧藏的四把明末清初黄花梨圈椅，以968.5万美金购得，约合6000多万元人民币，目前仍保持着圈椅的世界纪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i w:val="0"/>
          <w:iCs w:val="0"/>
          <w:caps w:val="0"/>
          <w:color w:val="333333"/>
          <w:spacing w:val="8"/>
          <w:sz w:val="28"/>
          <w:szCs w:val="28"/>
        </w:rPr>
      </w:pPr>
      <w:r>
        <w:rPr>
          <w:rFonts w:hint="eastAsia" w:ascii="宋体" w:hAnsi="宋体" w:eastAsia="宋体" w:cs="宋体"/>
          <w:kern w:val="0"/>
          <w:sz w:val="28"/>
          <w:szCs w:val="28"/>
          <w:lang w:val="en-US" w:eastAsia="zh-CN" w:bidi="ar"/>
        </w:rPr>
        <w:drawing>
          <wp:inline distT="0" distB="0" distL="114300" distR="114300">
            <wp:extent cx="5034915" cy="2177415"/>
            <wp:effectExtent l="0" t="0" r="13335" b="13335"/>
            <wp:docPr id="8" name="图片 12"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IMG_265"/>
                    <pic:cNvPicPr>
                      <a:picLocks noChangeAspect="1"/>
                    </pic:cNvPicPr>
                  </pic:nvPicPr>
                  <pic:blipFill>
                    <a:blip r:embed="rId19"/>
                    <a:stretch>
                      <a:fillRect/>
                    </a:stretch>
                  </pic:blipFill>
                  <pic:spPr>
                    <a:xfrm>
                      <a:off x="0" y="0"/>
                      <a:ext cx="5034915" cy="217741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明末/清18世纪 黄花梨架几案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888888"/>
          <w:spacing w:val="15"/>
          <w:sz w:val="28"/>
          <w:szCs w:val="28"/>
          <w:shd w:val="clear" w:fill="FFFFFF"/>
        </w:rPr>
        <w:t>成交价：908.375万美元</w:t>
      </w:r>
      <w:r>
        <w:rPr>
          <w:rFonts w:hint="eastAsia" w:ascii="宋体" w:hAnsi="宋体" w:eastAsia="宋体" w:cs="宋体"/>
          <w:i w:val="0"/>
          <w:iCs w:val="0"/>
          <w:caps w:val="0"/>
          <w:color w:val="333333"/>
          <w:spacing w:val="15"/>
          <w:sz w:val="28"/>
          <w:szCs w:val="28"/>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《收藏·拍卖》：中国美学正在蓬勃兴起，您认为中国传统文化如何影响中国人的思维和生活？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陈良玲：</w:t>
      </w:r>
      <w:r>
        <w:rPr>
          <w:rFonts w:hint="eastAsia" w:ascii="宋体" w:hAnsi="宋体" w:eastAsia="宋体" w:cs="宋体"/>
          <w:i w:val="0"/>
          <w:iCs w:val="0"/>
          <w:caps w:val="0"/>
          <w:color w:val="333333"/>
          <w:spacing w:val="15"/>
          <w:sz w:val="28"/>
          <w:szCs w:val="28"/>
          <w:shd w:val="clear" w:fill="FFFFFF"/>
        </w:rPr>
        <w:t>相较于西方传统美学，中国美学更强调的是一种意境，一种格局。书法有“书如其人 ”的说法，书家的人格气节、修养态度能透过其作品传达出来，经典例子之一为颜真卿的《祭侄文稿》，在这千古名篇里，我们看到了近乎凌乱的涂改，大量枯墨的笔触，深切地感受到颜真卿在书写时的情绪起伏，同时也看到了颜真卿平日功力累积的释放。而正因为这是一篇稿，它在美学上的呈现是未经雕琢的，是一种在“忘我”境界下所展现的最真实的精神状态。能流芳百世的作品往往都是在这样的精神状态所产生的。因此，一个人平日的修养是至关重要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人生出现的许多挑战、难关，多是不可预测的，但往往是在这样的时刻，一个人的人格、品行、态度、实力才会被显现出来。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《收藏·拍卖》：您的工作横跨中西方艺术拍卖，这应该是十分有趣的体验和经历。在您看来，中西思维方式和审美有何不同？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Style w:val="9"/>
          <w:rFonts w:hint="eastAsia" w:ascii="宋体" w:hAnsi="宋体" w:eastAsia="宋体" w:cs="宋体"/>
          <w:i w:val="0"/>
          <w:iCs w:val="0"/>
          <w:caps w:val="0"/>
          <w:color w:val="7A4442"/>
          <w:spacing w:val="15"/>
          <w:sz w:val="28"/>
          <w:szCs w:val="28"/>
          <w:shd w:val="clear" w:fill="FFFFFF"/>
        </w:rPr>
        <w:t>陈良玲：</w:t>
      </w:r>
      <w:r>
        <w:rPr>
          <w:rFonts w:hint="eastAsia" w:ascii="宋体" w:hAnsi="宋体" w:eastAsia="宋体" w:cs="宋体"/>
          <w:i w:val="0"/>
          <w:iCs w:val="0"/>
          <w:caps w:val="0"/>
          <w:color w:val="333333"/>
          <w:spacing w:val="15"/>
          <w:sz w:val="28"/>
          <w:szCs w:val="28"/>
          <w:shd w:val="clear" w:fill="FFFFFF"/>
        </w:rPr>
        <w:t>我工作最有趣的一个地方，就是能学习不同文明在不同时期所创作的作品，了解它们的背景，发掘它们的特点，以及彼此间的异同。中西方对于美学的见解固有其不同之处，但在历史进程中，偶尔也会遇到相似的地方。香港佳士得在2017年时拍卖了一件先后为胡惠春、乐从堂递藏的明代嘉靖五彩鱼藻纹罐（成交价：2.1385亿港元），当时我们将鱼藻纹与二十世纪法国艺术家马谛斯的作品做了一个比较，发觉无论是在用色还是看似随意的构图，皆有异曲同工之妙。然而，鱼藻罐与马谛斯之间相差逾四百年，为何会有这样的现象及发展，十分有趣，令人深思。</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both"/>
        <w:rPr>
          <w:rFonts w:hint="eastAsia" w:ascii="宋体" w:hAnsi="宋体" w:eastAsia="宋体" w:cs="宋体"/>
          <w:i w:val="0"/>
          <w:iCs w:val="0"/>
          <w:caps w:val="0"/>
          <w:color w:val="333333"/>
          <w:spacing w:val="8"/>
          <w:sz w:val="28"/>
          <w:szCs w:val="28"/>
        </w:rPr>
      </w:pPr>
    </w:p>
    <w:p>
      <w:pPr>
        <w:keepNext w:val="0"/>
        <w:keepLines w:val="0"/>
        <w:widowControl/>
        <w:suppressLineNumbers w:val="0"/>
        <w:shd w:val="clear"/>
        <w:jc w:val="left"/>
        <w:rPr>
          <w:rFonts w:hint="eastAsia" w:ascii="宋体" w:hAnsi="宋体" w:eastAsia="宋体" w:cs="宋体"/>
          <w:i w:val="0"/>
          <w:iCs w:val="0"/>
          <w:caps w:val="0"/>
          <w:color w:val="333333"/>
          <w:spacing w:val="8"/>
          <w:sz w:val="28"/>
          <w:szCs w:val="28"/>
        </w:rPr>
      </w:pPr>
      <w:r>
        <w:rPr>
          <w:rFonts w:hint="eastAsia" w:ascii="宋体" w:hAnsi="宋体" w:eastAsia="宋体" w:cs="宋体"/>
          <w:kern w:val="0"/>
          <w:sz w:val="28"/>
          <w:szCs w:val="28"/>
          <w:lang w:val="en-US" w:eastAsia="zh-CN" w:bidi="ar"/>
        </w:rPr>
        <w:drawing>
          <wp:inline distT="0" distB="0" distL="114300" distR="114300">
            <wp:extent cx="5114925" cy="5114925"/>
            <wp:effectExtent l="0" t="0" r="9525" b="9525"/>
            <wp:docPr id="9" name="图片 13"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descr="IMG_266"/>
                    <pic:cNvPicPr>
                      <a:picLocks noChangeAspect="1"/>
                    </pic:cNvPicPr>
                  </pic:nvPicPr>
                  <pic:blipFill>
                    <a:blip r:embed="rId20"/>
                    <a:stretch>
                      <a:fillRect/>
                    </a:stretch>
                  </pic:blipFill>
                  <pic:spPr>
                    <a:xfrm>
                      <a:off x="0" y="0"/>
                      <a:ext cx="5114925" cy="5114925"/>
                    </a:xfrm>
                    <a:prstGeom prst="rect">
                      <a:avLst/>
                    </a:prstGeom>
                    <a:noFill/>
                    <a:ln w="9525">
                      <a:noFill/>
                    </a:ln>
                  </pic:spPr>
                </pic:pic>
              </a:graphicData>
            </a:graphic>
          </wp:inline>
        </w:drawing>
      </w:r>
      <w:r>
        <w:rPr>
          <w:rFonts w:hint="eastAsia" w:ascii="宋体" w:hAnsi="宋体" w:eastAsia="宋体" w:cs="宋体"/>
          <w:color w:val="888888"/>
          <w:spacing w:val="15"/>
          <w:kern w:val="0"/>
          <w:sz w:val="28"/>
          <w:szCs w:val="28"/>
          <w:lang w:val="en-US" w:eastAsia="zh-CN" w:bidi="ar"/>
        </w:rPr>
        <w:t>明嘉靖 五彩鱼藻纹盖罐成交价：2.1385亿港元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60" w:beforeAutospacing="0" w:after="60" w:afterAutospacing="0" w:line="368" w:lineRule="atLeast"/>
        <w:ind w:left="240" w:right="240" w:firstLine="0"/>
        <w:jc w:val="both"/>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15"/>
          <w:sz w:val="28"/>
          <w:szCs w:val="28"/>
          <w:shd w:val="clear" w:fill="FFFFFF"/>
        </w:rPr>
        <w:t>收藏圈的热点一旦破圈成为公众话题，就已经远远超出收藏价值范畴。这样一个有颜值有实力的拍卖师小姐姐，你被圈粉了吗？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562" w:firstLineChars="200"/>
        <w:jc w:val="center"/>
        <w:rPr>
          <w:rFonts w:hint="eastAsia" w:ascii="宋体" w:hAnsi="宋体" w:eastAsia="宋体" w:cs="宋体"/>
          <w:b/>
          <w:bCs/>
          <w:i w:val="0"/>
          <w:iCs w:val="0"/>
          <w:caps w:val="0"/>
          <w:color w:val="auto"/>
          <w:spacing w:val="0"/>
          <w:kern w:val="0"/>
          <w:sz w:val="28"/>
          <w:szCs w:val="28"/>
          <w:u w:val="none"/>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20" w:lineRule="atLeast"/>
        <w:ind w:left="0" w:right="0" w:firstLine="560" w:firstLineChars="200"/>
        <w:jc w:val="left"/>
        <w:rPr>
          <w:rFonts w:hint="eastAsia" w:ascii="宋体" w:hAnsi="宋体" w:eastAsia="宋体" w:cs="宋体"/>
          <w:b w:val="0"/>
          <w:bCs w:val="0"/>
          <w:i w:val="0"/>
          <w:iCs w:val="0"/>
          <w:caps w:val="0"/>
          <w:color w:val="auto"/>
          <w:spacing w:val="0"/>
          <w:kern w:val="0"/>
          <w:sz w:val="28"/>
          <w:szCs w:val="28"/>
          <w:u w:val="none"/>
          <w:lang w:val="en-US" w:eastAsia="zh-CN" w:bidi="ar"/>
        </w:rPr>
      </w:pPr>
    </w:p>
    <w:p>
      <w:pPr>
        <w:shd w:val="clear"/>
        <w:ind w:firstLine="560" w:firstLineChars="200"/>
        <w:jc w:val="left"/>
        <w:rPr>
          <w:rFonts w:hint="eastAsia" w:ascii="宋体" w:hAnsi="宋体" w:eastAsia="宋体" w:cs="宋体"/>
          <w:sz w:val="28"/>
          <w:szCs w:val="28"/>
          <w:lang w:val="en-US" w:eastAsia="zh-CN"/>
        </w:rPr>
      </w:pPr>
    </w:p>
    <w:p>
      <w:pPr>
        <w:pStyle w:val="13"/>
        <w:shd w:val="clear"/>
        <w:spacing w:beforeLines="50"/>
        <w:ind w:firstLine="0" w:firstLineChars="0"/>
        <w:rPr>
          <w:rStyle w:val="9"/>
          <w:rFonts w:hint="eastAsia" w:ascii="宋体" w:hAnsi="宋体" w:eastAsia="宋体" w:cs="宋体"/>
          <w:b w:val="0"/>
          <w:sz w:val="28"/>
          <w:szCs w:val="28"/>
        </w:rPr>
      </w:pPr>
    </w:p>
    <w:p>
      <w:pPr>
        <w:shd w:val="clear"/>
        <w:ind w:firstLine="560" w:firstLineChars="200"/>
        <w:rPr>
          <w:rFonts w:hint="eastAsia" w:ascii="宋体" w:hAnsi="宋体" w:eastAsia="宋体" w:cs="宋体"/>
          <w:sz w:val="28"/>
          <w:szCs w:val="2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480" w:afterAutospacing="0"/>
        <w:ind w:left="0" w:right="0" w:firstLine="0"/>
        <w:jc w:val="center"/>
        <w:rPr>
          <w:rFonts w:hint="eastAsia" w:ascii="宋体" w:hAnsi="宋体" w:eastAsia="宋体" w:cs="宋体"/>
          <w:b/>
          <w:bCs/>
          <w:i w:val="0"/>
          <w:iCs w:val="0"/>
          <w:caps w:val="0"/>
          <w:color w:val="auto"/>
          <w:spacing w:val="8"/>
          <w:sz w:val="32"/>
          <w:szCs w:val="32"/>
          <w:shd w:val="clear" w:fill="FFFFFF"/>
        </w:rPr>
      </w:pPr>
      <w:r>
        <w:rPr>
          <w:rFonts w:hint="eastAsia" w:ascii="宋体" w:hAnsi="宋体" w:eastAsia="宋体" w:cs="宋体"/>
          <w:b/>
          <w:bCs/>
          <w:i w:val="0"/>
          <w:iCs w:val="0"/>
          <w:caps w:val="0"/>
          <w:color w:val="auto"/>
          <w:spacing w:val="8"/>
          <w:sz w:val="32"/>
          <w:szCs w:val="32"/>
          <w:shd w:val="clear" w:fill="FFFFFF"/>
        </w:rPr>
        <w:t>国之瑰宝再现，估价3.5亿 | 徐悲鸿《奴隶与狮》为何值得亚洲油画史上最高价？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480" w:afterAutospacing="0"/>
        <w:ind w:left="0" w:right="0" w:firstLine="592" w:firstLineChars="200"/>
        <w:jc w:val="left"/>
        <w:rPr>
          <w:rStyle w:val="9"/>
          <w:rFonts w:hint="eastAsia" w:ascii="宋体" w:hAnsi="宋体" w:eastAsia="宋体" w:cs="宋体"/>
          <w:i w:val="0"/>
          <w:iCs w:val="0"/>
          <w:caps w:val="0"/>
          <w:color w:val="auto"/>
          <w:spacing w:val="8"/>
          <w:sz w:val="28"/>
          <w:szCs w:val="28"/>
          <w:shd w:val="clear" w:fill="FFFFFF"/>
        </w:rPr>
      </w:pPr>
      <w:r>
        <w:rPr>
          <w:rFonts w:hint="eastAsia" w:ascii="宋体" w:hAnsi="宋体" w:eastAsia="宋体" w:cs="宋体"/>
          <w:i w:val="0"/>
          <w:iCs w:val="0"/>
          <w:caps w:val="0"/>
          <w:color w:val="auto"/>
          <w:spacing w:val="8"/>
          <w:sz w:val="28"/>
          <w:szCs w:val="28"/>
          <w:shd w:val="clear" w:fill="FFFFFF"/>
        </w:rPr>
        <w:t>4月19日上午，佳士得揭晓了本季春拍的最大王牌——中国现代艺术巨匠徐悲鸿（1895-1953）的国之瑰宝油画《奴隶与狮》，继苏轼《木石图》、常玉《五裸女》等世界纪录后，再度推出亚洲艺术史诗级杰作。</w:t>
      </w:r>
      <w:r>
        <w:rPr>
          <w:rStyle w:val="9"/>
          <w:rFonts w:hint="eastAsia" w:ascii="宋体" w:hAnsi="宋体" w:eastAsia="宋体" w:cs="宋体"/>
          <w:i w:val="0"/>
          <w:iCs w:val="0"/>
          <w:caps w:val="0"/>
          <w:color w:val="auto"/>
          <w:spacing w:val="8"/>
          <w:sz w:val="28"/>
          <w:szCs w:val="28"/>
          <w:shd w:val="clear" w:fill="FFFFFF"/>
        </w:rPr>
        <w:t>该作将以3.5亿-4.5亿港元上拍，成为史上估价最高的亚洲艺术品。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480" w:afterAutospacing="0"/>
        <w:ind w:left="0" w:right="0" w:firstLine="592" w:firstLineChars="200"/>
        <w:jc w:val="left"/>
        <w:rPr>
          <w:rFonts w:hint="eastAsia" w:ascii="宋体" w:hAnsi="宋体" w:eastAsia="宋体" w:cs="宋体"/>
          <w:i w:val="0"/>
          <w:iCs w:val="0"/>
          <w:caps w:val="0"/>
          <w:color w:val="auto"/>
          <w:spacing w:val="8"/>
          <w:kern w:val="0"/>
          <w:sz w:val="28"/>
          <w:szCs w:val="28"/>
          <w:bdr w:val="single" w:color="EEEDEB" w:sz="6" w:space="0"/>
          <w:shd w:val="clear" w:fill="EEEDEB"/>
          <w:lang w:val="en-US" w:eastAsia="zh-CN" w:bidi="ar"/>
        </w:rPr>
      </w:pPr>
      <w:r>
        <w:rPr>
          <w:rFonts w:hint="eastAsia" w:ascii="宋体" w:hAnsi="宋体" w:eastAsia="宋体" w:cs="宋体"/>
          <w:i w:val="0"/>
          <w:iCs w:val="0"/>
          <w:caps w:val="0"/>
          <w:color w:val="auto"/>
          <w:spacing w:val="8"/>
          <w:sz w:val="28"/>
          <w:szCs w:val="28"/>
          <w:shd w:val="clear" w:fill="FFFFFF"/>
        </w:rPr>
        <w:t>《奴隶与狮》是中国现代写实主义绘画及中国现代美术教育的奠基者， 一代宗师徐悲鸿主题性创作绘画的开山之作，可谓中国现代艺术史上的里程碑。而为了彰显该作的深远意义与重大价值，佳士得也将在5月24日的“20/21世纪艺术晚间拍卖”后，以独件作品专场呈现这件史诗巨作。</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●01悲天悯人的浪漫情怀</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5342255" cy="4507230"/>
            <wp:effectExtent l="0" t="0" r="10795" b="7620"/>
            <wp:docPr id="26" name="图片 2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IMG_256"/>
                    <pic:cNvPicPr>
                      <a:picLocks noChangeAspect="1"/>
                    </pic:cNvPicPr>
                  </pic:nvPicPr>
                  <pic:blipFill>
                    <a:blip r:embed="rId21"/>
                    <a:stretch>
                      <a:fillRect/>
                    </a:stretch>
                  </pic:blipFill>
                  <pic:spPr>
                    <a:xfrm>
                      <a:off x="0" y="0"/>
                      <a:ext cx="5342255" cy="450723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1"/>
          <w:szCs w:val="21"/>
          <w:shd w:val="clear" w:fill="FFFFFF"/>
          <w:lang w:val="en-US" w:eastAsia="zh-CN" w:bidi="ar"/>
        </w:rPr>
        <w:t>徐悲鸿（1895-1953）《奴隶与狮》油彩 画布 123.3 x 152.8cm 1924年作款识：悲鸿 甲子初秋 (左下)估价：3.5亿-4.5亿港元/4500万-5800万美元</w:t>
      </w:r>
      <w:r>
        <w:rPr>
          <w:rFonts w:hint="eastAsia" w:ascii="宋体" w:hAnsi="宋体" w:eastAsia="宋体" w:cs="宋体"/>
          <w:i w:val="0"/>
          <w:iCs w:val="0"/>
          <w:caps w:val="0"/>
          <w:color w:val="auto"/>
          <w:spacing w:val="8"/>
          <w:kern w:val="0"/>
          <w:sz w:val="21"/>
          <w:szCs w:val="21"/>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奴隶与狮》创作于1924年，当时徐悲鸿29岁，已在西欧留学五载，正值徐悲鸿油画创作成熟时期，《奴隶与狮》也是目前所见徐悲鸿最早的主题性油画创作。它标志著徐悲鸿艺术生涯的第一个创作高峰，亦是中国艺术史上的里程碑。</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这张高1.23米、宽1.53米的大幅油画凝聚了当时这位年轻画家的全部心血，它体现了徐悲鸿在留学时期对油画语言（包括笔触、明暗、构图、透视、色彩、造型等）的综合性把握，反映了他早期对油画风格的选择和取舍，展现了他表现矛盾冲突的场面，刻画人物、动物内心世界的高超技艺。徐悲鸿的儿子徐庆平认为，此画的艺术价值不逊于《愚公移山》。</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bdr w:val="single" w:color="EEEDEB" w:sz="6" w:space="0"/>
          <w:shd w:val="clear" w:fill="EEEDEB"/>
          <w:lang w:val="en-US" w:eastAsia="zh-CN" w:bidi="ar"/>
        </w:rPr>
        <w:drawing>
          <wp:inline distT="0" distB="0" distL="114300" distR="114300">
            <wp:extent cx="5224145" cy="3689985"/>
            <wp:effectExtent l="0" t="0" r="14605" b="5715"/>
            <wp:docPr id="25" name="图片 2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6" descr="IMG_257"/>
                    <pic:cNvPicPr>
                      <a:picLocks noChangeAspect="1"/>
                    </pic:cNvPicPr>
                  </pic:nvPicPr>
                  <pic:blipFill>
                    <a:blip r:embed="rId22"/>
                    <a:stretch>
                      <a:fillRect/>
                    </a:stretch>
                  </pic:blipFill>
                  <pic:spPr>
                    <a:xfrm>
                      <a:off x="0" y="0"/>
                      <a:ext cx="5224145" cy="3689985"/>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《奴隶与狮》局部</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bdr w:val="single" w:color="EEEDEB" w:sz="6" w:space="0"/>
          <w:shd w:val="clear" w:fill="EEEDEB"/>
          <w:lang w:val="en-US" w:eastAsia="zh-CN" w:bidi="ar"/>
        </w:rPr>
        <w:drawing>
          <wp:inline distT="0" distB="0" distL="114300" distR="114300">
            <wp:extent cx="4907280" cy="3677285"/>
            <wp:effectExtent l="0" t="0" r="7620" b="18415"/>
            <wp:docPr id="27" name="图片 2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58"/>
                    <pic:cNvPicPr>
                      <a:picLocks noChangeAspect="1"/>
                    </pic:cNvPicPr>
                  </pic:nvPicPr>
                  <pic:blipFill>
                    <a:blip r:embed="rId23"/>
                    <a:stretch>
                      <a:fillRect/>
                    </a:stretch>
                  </pic:blipFill>
                  <pic:spPr>
                    <a:xfrm>
                      <a:off x="0" y="0"/>
                      <a:ext cx="4907280" cy="3677285"/>
                    </a:xfrm>
                    <a:prstGeom prst="rect">
                      <a:avLst/>
                    </a:prstGeom>
                    <a:noFill/>
                    <a:ln w="9525">
                      <a:noFill/>
                    </a:ln>
                  </pic:spPr>
                </pic:pic>
              </a:graphicData>
            </a:graphic>
          </wp:inline>
        </w:drawing>
      </w:r>
    </w:p>
    <w:p>
      <w:pPr>
        <w:keepNext w:val="0"/>
        <w:keepLines w:val="0"/>
        <w:widowControl/>
        <w:suppressLineNumbers w:val="0"/>
        <w:shd w:val="clear"/>
        <w:spacing w:before="0" w:beforeAutospacing="0" w:after="0" w:afterAutospacing="0"/>
        <w:ind w:left="0" w:right="0"/>
        <w:jc w:val="left"/>
        <w:rPr>
          <w:rFonts w:hint="eastAsia" w:ascii="宋体" w:hAnsi="宋体" w:eastAsia="宋体" w:cs="宋体"/>
          <w:color w:val="auto"/>
          <w:sz w:val="28"/>
          <w:szCs w:val="28"/>
        </w:rPr>
      </w:pPr>
      <w:r>
        <w:rPr>
          <w:rFonts w:hint="eastAsia" w:ascii="宋体" w:hAnsi="宋体" w:eastAsia="宋体" w:cs="宋体"/>
          <w:i w:val="0"/>
          <w:iCs w:val="0"/>
          <w:caps w:val="0"/>
          <w:color w:val="auto"/>
          <w:spacing w:val="15"/>
          <w:kern w:val="0"/>
          <w:sz w:val="28"/>
          <w:szCs w:val="28"/>
          <w:shd w:val="clear" w:fill="FFFFFF"/>
          <w:lang w:val="en-US" w:eastAsia="zh-CN" w:bidi="ar"/>
        </w:rPr>
        <w:t>《奴隶与狮》局部中流血的狮爪</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bdr w:val="single" w:color="EEEDEB" w:sz="6" w:space="0"/>
          <w:shd w:val="clear" w:fill="EEEDEB"/>
          <w:lang w:val="en-US" w:eastAsia="zh-CN" w:bidi="ar"/>
        </w:rPr>
        <w:drawing>
          <wp:inline distT="0" distB="0" distL="114300" distR="114300">
            <wp:extent cx="5306695" cy="4544060"/>
            <wp:effectExtent l="0" t="0" r="8255" b="8890"/>
            <wp:docPr id="36" name="图片 2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8" descr="IMG_259"/>
                    <pic:cNvPicPr>
                      <a:picLocks noChangeAspect="1"/>
                    </pic:cNvPicPr>
                  </pic:nvPicPr>
                  <pic:blipFill>
                    <a:blip r:embed="rId24"/>
                    <a:stretch>
                      <a:fillRect/>
                    </a:stretch>
                  </pic:blipFill>
                  <pic:spPr>
                    <a:xfrm>
                      <a:off x="0" y="0"/>
                      <a:ext cx="5306695" cy="454406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《奴隶与狮》局部</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奴隶与狮》在艺术上很有特色。两个仅有的主要形象——狮子和奴隶，被安排在一个幽暗的山洞中，一左一右对视着，使得画面极具张力和内在的紧张性。光从居于画面正中的洞口射进来，洞外的阳光、白云与洞内的黑暗形成强烈的对比，加剧了人与狮的紧张关系。狮子的前爪被刺伤流着鲜血，而用来遮盖奴隶下体的围布也为暗红色，似乎显示着他们都对生命有着渴望。两个形象都强调力量感，肌肉强健，笔触阔大。整个画面不拘于细部描写，整体性很强。</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奴隶与狮的故事来自古罗马传说与《伊索寓言》，讲述了不堪虐待而逃跑的奴隶，被主人捉住后押送到罗马，准备喂给马戏团的狮子。就在他被扔进狮笼，眼看就要丧生的时候，却不期然地被狮子认了出来。原来在几年前的非洲，奴隶曾为它取出过爪子上扎的一根刺。狮子知恩图报，没有伤害他。这个前所未见的场面甚至感动了残暴的奴隶主，奴隶的死刑得以赦免，并获得了自由。</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304800" cy="304800"/>
            <wp:effectExtent l="0" t="0" r="0" b="0"/>
            <wp:docPr id="34" name="图片 29"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9" descr="IMG_260"/>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图为18世纪《奴隶与狮》版画，传统西方绘画对《奴隶与狮》故事的描绘，多集中在奴隶给狮子拔刺的瞬间，但徐悲鸿打破了这一惯例</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此后这一民间神话又在西方天主教徒中反复传颂，并逐渐定格为类似“因果报应”、“感恩报恩”的说教，只是在故事和主人公的命名上又有各异的说法——譬如“奴隶与狮子”、“义狮报恩”、“感恩的狮子”、“狮子拔刺”等不同的故事名称，以及安得罗克勒(Androclus)等相异的奴隶名字。</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之所以选择这个题材，首先是因为描绘历史和宗教故事是当时学院派的传统。其次，徐悲鸿的这幅画，既显示了他向西方传统挑战而显露自我艺术的锋芒锐气，也是他潜心学习西画数年后学有所成的成果呈现。</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●02狮子精神</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1921年，中国国内政局动荡，基本断绝了留学公费的供给。为了缩减开支，又适逢1921年7月至1923年春德国马克大幅贬值，徐悲鸿故而迁居德国，在柏林渡过了节衣缩食的两年。他前往德国的收获，除了从莱茵河以北的绘画中吸取了营养之外，便是酣畅地过了画狮之瘾。</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徐悲鸿生性喜画猛兽，其中以狮子为最，他说狮子虽是猛兽，但其性和易，和虎豹不同，所以称为兽王。而柏林动物园的狮栏呈半圆形，三面朝向观众，使人可以从各个角度尽情观赏狮子的动态，最有利于画家进行速写，这使他画兴大发。在柏林期间，只要是风和日丽，特别是上午游人少时，他必到动物园画狮。正是由于他这个时期画狮速写甚多，在画动物上下了苦功，因此方能在日后创作时，以各种动物的动态来表达想法。</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作为徐悲鸿对国家崛起的信念，狮子贯穿了他整个创作生涯，此后还创作过数十幅以狮子为题材的中国画巨作。他画的狮子，并不表现狮的兽性，而是赋予人格化的构思，他渴望他的祖国像一只真正的雄师，终有一天，从《负伤之狮》(1938)到《会师东京》(1943)，向世界发出觉醒的吼声。</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304800" cy="304800"/>
            <wp:effectExtent l="0" t="0" r="0" b="0"/>
            <wp:docPr id="32" name="图片 31"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descr="IMG_262"/>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徐悲鸿《负伤之狮》 110x109cm 1938年 纸本水墨 徐悲鸿纪念馆藏</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304800" cy="304800"/>
            <wp:effectExtent l="0" t="0" r="0" b="0"/>
            <wp:docPr id="28" name="图片 3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2" descr="IMG_263"/>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徐悲鸿《会师东京》中国画 113×217cm 1943年作 徐悲鸿纪念馆藏</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不过由于1924年画材十分有限，徐悲鸿在构思《奴隶与狮》时也曾经几易其稿。在徐悲鸿纪念馆所收藏的若干幅与油画《奴隶与狮子》有关的素描稿中可以看到，在创作初期徐悲鸿曾更倾向于将画面定格为奴隶与狮子初遇时的情景，因为在其中一幅关于奴隶的素描稿中，其面部被塑造为某种惊恐万状的表情，人物的肢体动作充满动势而呈逃避之状。</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304800" cy="304800"/>
            <wp:effectExtent l="0" t="0" r="0" b="0"/>
            <wp:docPr id="30" name="图片 33"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3" descr="IMG_264"/>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《奴隶与狮》1924年 素描 47.5x63cm。北京徐悲鸿美术馆藏</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然而在最终的画面中，奴隶的形象虽仍保持了某种蜷缩的姿态，但是徐悲鸿有意消减了人物的动势，从而使整个画面深入至人与猛兽之间的微妙关系和复杂心理活动的刻意描绘。</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这进一步增强了历史画的情感张力，从而避免了肤浅而空泛的说教，同时徐悲鸿又在此基础上将所谓的“因果报应”、“感恩报恩”，提升为一种悲天悯人，一种博爱情怀，一种超离伦理说教之上的人文关怀。进而审思人性与博爱的人文主义精神，以及自救民族于危亡，强调爱国主义和民族主义，实现民族振兴的伟大复兴目标。而这正是徐悲鸿艺术的精神所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240" w:right="240"/>
        <w:jc w:val="both"/>
        <w:rPr>
          <w:rFonts w:hint="eastAsia" w:ascii="宋体" w:hAnsi="宋体" w:eastAsia="宋体" w:cs="宋体"/>
          <w:color w:val="auto"/>
          <w:spacing w:val="8"/>
          <w:sz w:val="28"/>
          <w:szCs w:val="28"/>
        </w:rPr>
      </w:pPr>
      <w:r>
        <w:rPr>
          <w:rFonts w:hint="eastAsia" w:ascii="宋体" w:hAnsi="宋体" w:eastAsia="宋体" w:cs="宋体"/>
          <w:i w:val="0"/>
          <w:iCs w:val="0"/>
          <w:caps w:val="0"/>
          <w:color w:val="auto"/>
          <w:spacing w:val="15"/>
          <w:sz w:val="28"/>
          <w:szCs w:val="28"/>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240" w:right="240"/>
        <w:jc w:val="both"/>
        <w:rPr>
          <w:rFonts w:hint="eastAsia" w:ascii="宋体" w:hAnsi="宋体" w:eastAsia="宋体" w:cs="宋体"/>
          <w:color w:val="auto"/>
          <w:spacing w:val="8"/>
          <w:sz w:val="28"/>
          <w:szCs w:val="28"/>
        </w:rPr>
      </w:pPr>
      <w:r>
        <w:rPr>
          <w:rFonts w:hint="eastAsia" w:ascii="宋体" w:hAnsi="宋体" w:eastAsia="宋体" w:cs="宋体"/>
          <w:i w:val="0"/>
          <w:iCs w:val="0"/>
          <w:caps w:val="0"/>
          <w:color w:val="auto"/>
          <w:spacing w:val="15"/>
          <w:sz w:val="28"/>
          <w:szCs w:val="28"/>
          <w:shd w:val="clear" w:fill="FFFFFF"/>
        </w:rPr>
        <w:t>03</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leftChars="0" w:right="240" w:firstLine="0" w:firstLineChars="0"/>
        <w:jc w:val="both"/>
        <w:rPr>
          <w:rFonts w:hint="eastAsia" w:ascii="宋体" w:hAnsi="宋体" w:eastAsia="宋体" w:cs="宋体"/>
          <w:color w:val="auto"/>
          <w:spacing w:val="8"/>
          <w:sz w:val="28"/>
          <w:szCs w:val="28"/>
        </w:rPr>
      </w:pPr>
      <w:r>
        <w:rPr>
          <w:rFonts w:hint="eastAsia" w:ascii="宋体" w:hAnsi="宋体" w:eastAsia="宋体" w:cs="宋体"/>
          <w:i w:val="0"/>
          <w:iCs w:val="0"/>
          <w:caps w:val="0"/>
          <w:color w:val="auto"/>
          <w:spacing w:val="15"/>
          <w:sz w:val="28"/>
          <w:szCs w:val="28"/>
          <w:shd w:val="clear" w:fill="FFFFFF"/>
        </w:rPr>
        <w:t>流传有序的美术史开山之作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leftChars="0" w:right="240" w:firstLine="0" w:firstLineChars="0"/>
        <w:jc w:val="both"/>
        <w:rPr>
          <w:rFonts w:hint="eastAsia" w:ascii="宋体" w:hAnsi="宋体" w:eastAsia="宋体" w:cs="宋体"/>
          <w:color w:val="auto"/>
          <w:sz w:val="28"/>
          <w:szCs w:val="28"/>
        </w:rPr>
      </w:pPr>
      <w:r>
        <w:rPr>
          <w:rFonts w:hint="eastAsia" w:ascii="宋体" w:hAnsi="宋体" w:eastAsia="宋体" w:cs="宋体"/>
          <w:i w:val="0"/>
          <w:iCs w:val="0"/>
          <w:caps w:val="0"/>
          <w:color w:val="auto"/>
          <w:spacing w:val="15"/>
          <w:sz w:val="28"/>
          <w:szCs w:val="28"/>
          <w:shd w:val="clear" w:fill="FFFFFF"/>
        </w:rPr>
        <w:t>《奴隶与狮》是徐悲鸿第一幅主题性油画作品。正是带着这些家国情怀的选择和追求，归国后徐悲鸿创作了《愚公移山》、《徯我后》、《田横五百士》等诸多来源于神话故事的主题油画。但是《奴隶与狮》中的人道主义精神，则一直贯穿在这些作品之中，与当时国内启蒙运动的精神遥相呼应。无论从徐悲鸿个人创作序列，还是从二十世纪中国美术史的角度看，《奴隶与狮》都是中国古典主义艺术的开山之作，为中国现代艺术开拓出一条改革创新之路，历史价值极高。</w:t>
      </w:r>
    </w:p>
    <w:p>
      <w:pPr>
        <w:keepNext w:val="0"/>
        <w:keepLines w:val="0"/>
        <w:widowControl/>
        <w:suppressLineNumbers w:val="0"/>
        <w:shd w:val="clear"/>
        <w:spacing w:before="0" w:beforeAutospacing="0" w:after="0" w:afterAutospacing="0"/>
        <w:ind w:left="0" w:right="0"/>
        <w:jc w:val="left"/>
        <w:rPr>
          <w:rFonts w:hint="eastAsia" w:ascii="宋体" w:hAnsi="宋体" w:eastAsia="宋体" w:cs="宋体"/>
          <w:color w:val="auto"/>
          <w:sz w:val="28"/>
          <w:szCs w:val="28"/>
        </w:rPr>
      </w:pP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304800" cy="304800"/>
            <wp:effectExtent l="0" t="0" r="0" b="0"/>
            <wp:docPr id="35" name="图片 34"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descr="IMG_265"/>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徐悲鸿 《田横五百士》 布面油画 197x349cm 1930 徐悲鸿纪念馆藏</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drawing>
          <wp:inline distT="0" distB="0" distL="114300" distR="114300">
            <wp:extent cx="304800" cy="304800"/>
            <wp:effectExtent l="0" t="0" r="0" b="0"/>
            <wp:docPr id="38" name="图片 35"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5" descr="IMG_266"/>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iCs w:val="0"/>
          <w:caps w:val="0"/>
          <w:color w:val="auto"/>
          <w:spacing w:val="15"/>
          <w:kern w:val="0"/>
          <w:sz w:val="28"/>
          <w:szCs w:val="28"/>
          <w:shd w:val="clear" w:fill="FFFFFF"/>
          <w:lang w:val="en-US" w:eastAsia="zh-CN" w:bidi="ar"/>
        </w:rPr>
        <w:t>徐悲鸿 《愚公移山》 布面油画 213x462cm 1940 徐悲鸿纪念馆藏</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由于《奴隶与狮》的重要性，徐悲鸿在归国后，尽管多次辗转于东南、西南、以至国外时，都将它带在身边。直至1941年徐悲鸿“狮城藏画”的公案后，《奴隶与狮》未能被带回国，而是辗转被新加坡重要藏家收藏，直至2006年重新在佳士得香港拍卖会上出现，以5388万港元创下了当时中国油画拍卖的世界纪录，流传有序。</w:t>
      </w:r>
      <w:r>
        <w:rPr>
          <w:rStyle w:val="9"/>
          <w:rFonts w:hint="eastAsia" w:ascii="宋体" w:hAnsi="宋体" w:eastAsia="宋体" w:cs="宋体"/>
          <w:i w:val="0"/>
          <w:iCs w:val="0"/>
          <w:caps w:val="0"/>
          <w:color w:val="auto"/>
          <w:spacing w:val="15"/>
          <w:kern w:val="0"/>
          <w:sz w:val="28"/>
          <w:szCs w:val="28"/>
          <w:shd w:val="clear" w:fill="FFFFFF"/>
          <w:lang w:val="en-US" w:eastAsia="zh-CN" w:bidi="ar"/>
        </w:rPr>
        <w:t>而即使在徐悲鸿多件油画巨作已面世的今日，《奴隶与狮》也是私人藏家手中尺幅最大的徐悲鸿油画，绝无仅有。</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徐悲鸿一生作品约3000幅，但油画却仅有100余幅。而在近20年间，能够释出市场，且来源清晰，保存状况良好的作品仅在20件左右。在中国艺术市场的发展初期，徐悲鸿艺术一直是引领市场向前的最大动力，在2000年至2007年间，徐悲鸿油画就曾5次刷新中国油画的拍卖纪录，大幅抬升了中国油画的价格。</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2000-2007年，徐悲鸿油画曾5次刷新中国油画世界纪录</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虽然由于油画稀缺、藏家惜售，以及中国当代艺术，及海外华人艺术的兴起，徐悲鸿油画逐渐淡出人们视野。但在国内对徐悲鸿研究的并未因此减弱，其在新中国艺术地位反而越来越明确，按照“好作品、好价格”的市场原则，徐悲鸿最重要的作品无疑仍保持着冲击中国油画拍卖纪录的能力。</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8"/>
          <w:kern w:val="0"/>
          <w:sz w:val="28"/>
          <w:szCs w:val="28"/>
          <w:shd w:val="clear" w:fill="FFFFFF"/>
          <w:lang w:val="en-US" w:eastAsia="zh-CN" w:bidi="ar"/>
        </w:rPr>
        <w:t xml:space="preserve">    </w:t>
      </w:r>
      <w:r>
        <w:rPr>
          <w:rFonts w:hint="eastAsia" w:ascii="宋体" w:hAnsi="宋体" w:eastAsia="宋体" w:cs="宋体"/>
          <w:i w:val="0"/>
          <w:iCs w:val="0"/>
          <w:caps w:val="0"/>
          <w:color w:val="auto"/>
          <w:spacing w:val="15"/>
          <w:kern w:val="0"/>
          <w:sz w:val="28"/>
          <w:szCs w:val="28"/>
          <w:shd w:val="clear" w:fill="FFFFFF"/>
          <w:lang w:val="en-US" w:eastAsia="zh-CN" w:bidi="ar"/>
        </w:rPr>
        <w:t>而当下高端拍品的收藏主力，主要集中在企业、美术馆及少数大藏家间，他们的收藏依美术史系统而建立，对精品的追逐意愿强烈。而在新加坡国家美术馆“徐悲鸿在南洋”大展中，徐悲鸿《奴隶与狮》是处在最显著位置的明星作品。这样一件堪比博物馆收藏的重要拍品出现，无疑最对他们的胃口。</w:t>
      </w:r>
      <w:r>
        <w:rPr>
          <w:rFonts w:hint="eastAsia" w:ascii="宋体" w:hAnsi="宋体" w:eastAsia="宋体" w:cs="宋体"/>
          <w:i w:val="0"/>
          <w:iCs w:val="0"/>
          <w:caps w:val="0"/>
          <w:color w:val="auto"/>
          <w:spacing w:val="8"/>
          <w:kern w:val="0"/>
          <w:sz w:val="28"/>
          <w:szCs w:val="28"/>
          <w:shd w:val="clear" w:fill="FFFFFF"/>
          <w:lang w:val="en-US" w:eastAsia="zh-CN" w:bidi="ar"/>
        </w:rPr>
        <w:br w:type="textWrapping"/>
      </w:r>
      <w:r>
        <w:rPr>
          <w:rFonts w:hint="eastAsia" w:ascii="宋体" w:hAnsi="宋体" w:eastAsia="宋体" w:cs="宋体"/>
          <w:i w:val="0"/>
          <w:iCs w:val="0"/>
          <w:caps w:val="0"/>
          <w:color w:val="auto"/>
          <w:spacing w:val="15"/>
          <w:kern w:val="0"/>
          <w:sz w:val="28"/>
          <w:szCs w:val="28"/>
          <w:shd w:val="clear" w:fill="FFFFFF"/>
          <w:lang w:val="en-US" w:eastAsia="zh-CN" w:bidi="ar"/>
        </w:rPr>
        <w:t>在中国油画百家争鸣，已进入全新市场发展阶段的今日，《奴隶与狮》这一中国油画史上重要作品的重新面市更有其重要意义。它对我们重新梳理中国油画的发展过程，研究二十世纪中国与西方现代艺术的发展进程的互补与交融关系，探索中西艺术应如何对待传统、发挥所长，都会有着重要的启迪。</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rFonts w:hint="eastAsia" w:ascii="宋体" w:hAnsi="宋体" w:eastAsia="宋体" w:cs="宋体"/>
          <w:color w:val="auto"/>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240" w:right="240"/>
        <w:jc w:val="both"/>
        <w:rPr>
          <w:rFonts w:hint="eastAsia" w:ascii="宋体" w:hAnsi="宋体" w:eastAsia="宋体" w:cs="宋体"/>
          <w:color w:val="auto"/>
          <w:spacing w:val="8"/>
          <w:sz w:val="28"/>
          <w:szCs w:val="28"/>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both"/>
        <w:rPr>
          <w:rFonts w:hint="eastAsia" w:ascii="宋体" w:hAnsi="宋体" w:eastAsia="宋体" w:cs="宋体"/>
          <w:color w:val="auto"/>
          <w:sz w:val="28"/>
          <w:szCs w:val="28"/>
        </w:rPr>
      </w:pPr>
      <w:r>
        <w:rPr>
          <w:rFonts w:hint="eastAsia" w:ascii="宋体" w:hAnsi="宋体" w:eastAsia="宋体" w:cs="宋体"/>
          <w:i w:val="0"/>
          <w:iCs w:val="0"/>
          <w:caps w:val="0"/>
          <w:color w:val="auto"/>
          <w:spacing w:val="8"/>
          <w:sz w:val="28"/>
          <w:szCs w:val="28"/>
          <w:shd w:val="clear" w:fill="FFFFFF"/>
        </w:rPr>
        <w:drawing>
          <wp:inline distT="0" distB="0" distL="114300" distR="114300">
            <wp:extent cx="304800" cy="304800"/>
            <wp:effectExtent l="0" t="0" r="0" b="0"/>
            <wp:docPr id="29" name="图片 37"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7" descr="IMG_268"/>
                    <pic:cNvPicPr>
                      <a:picLocks noChangeAspect="1"/>
                    </pic:cNvPicPr>
                  </pic:nvPicPr>
                  <pic:blipFill>
                    <a:blip r:embed="rId25"/>
                    <a:stretch>
                      <a:fillRect/>
                    </a:stretch>
                  </pic:blipFill>
                  <pic:spPr>
                    <a:xfrm>
                      <a:off x="0" y="0"/>
                      <a:ext cx="304800" cy="30480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00" w:lineRule="atLeast"/>
        <w:ind w:left="0" w:right="0"/>
        <w:jc w:val="center"/>
        <w:rPr>
          <w:rFonts w:hint="eastAsia" w:ascii="宋体" w:hAnsi="宋体" w:eastAsia="宋体" w:cs="宋体"/>
          <w:color w:val="auto"/>
          <w:sz w:val="28"/>
          <w:szCs w:val="28"/>
        </w:rPr>
      </w:pPr>
      <w:r>
        <w:rPr>
          <w:rFonts w:hint="eastAsia" w:ascii="宋体" w:hAnsi="宋体" w:eastAsia="宋体" w:cs="宋体"/>
          <w:i w:val="0"/>
          <w:iCs w:val="0"/>
          <w:caps w:val="0"/>
          <w:color w:val="auto"/>
          <w:spacing w:val="8"/>
          <w:kern w:val="0"/>
          <w:sz w:val="28"/>
          <w:szCs w:val="28"/>
          <w:shd w:val="clear" w:fill="FFFFFF"/>
          <w:lang w:val="en-US" w:eastAsia="zh-CN" w:bidi="ar"/>
        </w:rPr>
        <w:br w:type="textWrapping"/>
      </w:r>
    </w:p>
    <w:p>
      <w:pPr>
        <w:shd w:val="clear"/>
        <w:rPr>
          <w:rFonts w:hint="eastAsia" w:ascii="宋体" w:hAnsi="宋体" w:eastAsia="宋体" w:cs="宋体"/>
          <w:color w:val="auto"/>
          <w:sz w:val="28"/>
          <w:szCs w:val="28"/>
        </w:rPr>
      </w:pPr>
    </w:p>
    <w:p>
      <w:pPr>
        <w:keepNext w:val="0"/>
        <w:keepLines w:val="0"/>
        <w:pageBreakBefore w:val="0"/>
        <w:widowControl w:val="0"/>
        <w:shd w:val="clear"/>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color w:val="auto"/>
          <w:sz w:val="28"/>
          <w:szCs w:val="28"/>
        </w:rPr>
      </w:pPr>
    </w:p>
    <w:p>
      <w:pPr>
        <w:keepNext w:val="0"/>
        <w:keepLines w:val="0"/>
        <w:pageBreakBefore w:val="0"/>
        <w:widowControl w:val="0"/>
        <w:shd w:val="clear"/>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color w:val="auto"/>
          <w:sz w:val="28"/>
          <w:szCs w:val="28"/>
        </w:rPr>
      </w:pPr>
    </w:p>
    <w:p>
      <w:pPr>
        <w:keepNext w:val="0"/>
        <w:keepLines w:val="0"/>
        <w:pageBreakBefore w:val="0"/>
        <w:widowControl w:val="0"/>
        <w:shd w:val="clear"/>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color w:val="auto"/>
          <w:sz w:val="28"/>
          <w:szCs w:val="28"/>
        </w:rPr>
      </w:pPr>
    </w:p>
    <w:p>
      <w:pPr>
        <w:keepNext w:val="0"/>
        <w:keepLines w:val="0"/>
        <w:pageBreakBefore w:val="0"/>
        <w:widowControl w:val="0"/>
        <w:shd w:val="clear"/>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color w:val="auto"/>
          <w:sz w:val="28"/>
          <w:szCs w:val="28"/>
        </w:rPr>
      </w:pPr>
    </w:p>
    <w:p>
      <w:pPr>
        <w:keepNext w:val="0"/>
        <w:keepLines w:val="0"/>
        <w:pageBreakBefore w:val="0"/>
        <w:widowControl w:val="0"/>
        <w:shd w:val="clear"/>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color w:val="auto"/>
          <w:sz w:val="28"/>
          <w:szCs w:val="28"/>
        </w:rPr>
      </w:pPr>
    </w:p>
    <w:sectPr>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9D3BAF"/>
    <w:multiLevelType w:val="multilevel"/>
    <w:tmpl w:val="379D3BAF"/>
    <w:lvl w:ilvl="0" w:tentative="0">
      <w:start w:val="2"/>
      <w:numFmt w:val="japaneseCounting"/>
      <w:lvlText w:val="%1、"/>
      <w:lvlJc w:val="left"/>
      <w:pPr>
        <w:ind w:left="1290" w:hanging="72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8461ED"/>
    <w:rsid w:val="188461ED"/>
    <w:rsid w:val="26C117A6"/>
    <w:rsid w:val="3D664050"/>
    <w:rsid w:val="48FD4C7C"/>
    <w:rsid w:val="56210E3E"/>
    <w:rsid w:val="6F775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qFormat/>
    <w:uiPriority w:val="0"/>
    <w:rPr>
      <w:b/>
      <w:bCs/>
    </w:rPr>
  </w:style>
  <w:style w:type="character" w:styleId="10">
    <w:name w:val="Emphasis"/>
    <w:basedOn w:val="8"/>
    <w:qFormat/>
    <w:uiPriority w:val="0"/>
    <w:rPr>
      <w:i/>
    </w:rPr>
  </w:style>
  <w:style w:type="character" w:styleId="11">
    <w:name w:val="Hyperlink"/>
    <w:basedOn w:val="8"/>
    <w:uiPriority w:val="0"/>
    <w:rPr>
      <w:color w:val="0000FF"/>
      <w:u w:val="single"/>
    </w:rPr>
  </w:style>
  <w:style w:type="paragraph" w:customStyle="1" w:styleId="12">
    <w:name w:val="列出段落2"/>
    <w:basedOn w:val="1"/>
    <w:qFormat/>
    <w:uiPriority w:val="34"/>
    <w:pPr>
      <w:ind w:firstLine="420" w:firstLineChars="200"/>
    </w:pPr>
    <w:rPr>
      <w:rFonts w:ascii="Calibri" w:hAnsi="Calibri" w:eastAsia="宋体" w:cs="黑体"/>
    </w:rPr>
  </w:style>
  <w:style w:type="paragraph" w:customStyle="1" w:styleId="13">
    <w:name w:val="列出段落1"/>
    <w:basedOn w:val="1"/>
    <w:qFormat/>
    <w:uiPriority w:val="34"/>
    <w:pPr>
      <w:ind w:firstLine="420" w:firstLineChars="200"/>
    </w:pPr>
    <w:rPr>
      <w:rFonts w:ascii="Calibri" w:hAnsi="Calibri" w:eastAsia="宋体" w:cs="黑体"/>
    </w:rPr>
  </w:style>
  <w:style w:type="character" w:customStyle="1" w:styleId="14">
    <w:name w:val="bds_more2"/>
    <w:basedOn w:val="8"/>
    <w:uiPriority w:val="0"/>
    <w:rPr>
      <w:rFonts w:hint="eastAsia" w:ascii="宋体" w:hAnsi="宋体" w:eastAsia="宋体" w:cs="宋体"/>
    </w:rPr>
  </w:style>
  <w:style w:type="character" w:customStyle="1" w:styleId="15">
    <w:name w:val="bds_more3"/>
    <w:basedOn w:val="8"/>
    <w:uiPriority w:val="0"/>
  </w:style>
  <w:style w:type="character" w:customStyle="1" w:styleId="16">
    <w:name w:val="bds_more4"/>
    <w:basedOn w:val="8"/>
    <w:uiPriority w:val="0"/>
  </w:style>
  <w:style w:type="character" w:customStyle="1" w:styleId="17">
    <w:name w:val="bds_nopic"/>
    <w:basedOn w:val="8"/>
    <w:uiPriority w:val="0"/>
  </w:style>
  <w:style w:type="character" w:customStyle="1" w:styleId="18">
    <w:name w:val="bds_nopic1"/>
    <w:basedOn w:val="8"/>
    <w:uiPriority w:val="0"/>
  </w:style>
  <w:style w:type="character" w:customStyle="1" w:styleId="19">
    <w:name w:val="bds_nopic2"/>
    <w:basedOn w:val="8"/>
    <w:uiPriority w:val="0"/>
  </w:style>
  <w:style w:type="character" w:customStyle="1" w:styleId="20">
    <w:name w:val="bds_more"/>
    <w:basedOn w:val="8"/>
    <w:uiPriority w:val="0"/>
    <w:rPr>
      <w:rFonts w:hint="eastAsia" w:ascii="宋体" w:hAnsi="宋体" w:eastAsia="宋体" w:cs="宋体"/>
    </w:rPr>
  </w:style>
  <w:style w:type="character" w:customStyle="1" w:styleId="21">
    <w:name w:val="bds_more1"/>
    <w:basedOn w:val="8"/>
    <w:uiPriority w:val="0"/>
  </w:style>
  <w:style w:type="character" w:customStyle="1" w:styleId="22">
    <w:name w:val="p30heiyh1"/>
    <w:basedOn w:val="8"/>
    <w:uiPriority w:val="0"/>
    <w:rPr>
      <w:rFonts w:ascii="微软雅黑" w:hAnsi="微软雅黑" w:eastAsia="微软雅黑" w:cs="微软雅黑"/>
      <w:color w:val="333333"/>
      <w:sz w:val="55"/>
      <w:szCs w:val="55"/>
      <w:u w:val="none"/>
    </w:rPr>
  </w:style>
  <w:style w:type="paragraph" w:customStyle="1" w:styleId="23">
    <w:name w:val="[基本段落]"/>
    <w:basedOn w:val="24"/>
    <w:unhideWhenUsed/>
    <w:qFormat/>
    <w:uiPriority w:val="99"/>
    <w:pPr>
      <w:spacing w:beforeLines="0" w:afterLines="0"/>
    </w:pPr>
    <w:rPr>
      <w:rFonts w:hint="eastAsia"/>
      <w:sz w:val="24"/>
    </w:rPr>
  </w:style>
  <w:style w:type="paragraph" w:customStyle="1" w:styleId="24">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png"/><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NULL"/><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系列 1</c:v>
                </c:pt>
              </c:strCache>
            </c:strRef>
          </c:tx>
          <c:invertIfNegative val="0"/>
          <c:dLbls>
            <c:dLbl>
              <c:idx val="0"/>
              <c:layout/>
              <c:dLblPos val="ctr"/>
              <c:showLegendKey val="0"/>
              <c:showVal val="1"/>
              <c:showCatName val="0"/>
              <c:showSerName val="0"/>
              <c:showPercent val="0"/>
              <c:showBubbleSize val="0"/>
              <c:extLst>
                <c:ext xmlns:c15="http://schemas.microsoft.com/office/drawing/2012/chart" uri="{CE6537A1-D6FC-4f65-9D91-7224C49458BB}"/>
              </c:extLst>
            </c:dLbl>
            <c:dLbl>
              <c:idx val="1"/>
              <c:layout/>
              <c:dLblPos val="ctr"/>
              <c:showLegendKey val="0"/>
              <c:showVal val="1"/>
              <c:showCatName val="0"/>
              <c:showSerName val="0"/>
              <c:showPercent val="0"/>
              <c:showBubbleSize val="0"/>
              <c:extLst>
                <c:ext xmlns:c15="http://schemas.microsoft.com/office/drawing/2012/chart" uri="{CE6537A1-D6FC-4f65-9D91-7224C49458BB}"/>
              </c:extLst>
            </c:dLbl>
            <c:dLbl>
              <c:idx val="2"/>
              <c:layout/>
              <c:dLblPos val="ctr"/>
              <c:showLegendKey val="0"/>
              <c:showVal val="1"/>
              <c:showCatName val="0"/>
              <c:showSerName val="0"/>
              <c:showPercent val="0"/>
              <c:showBubbleSize val="0"/>
              <c:extLst>
                <c:ext xmlns:c15="http://schemas.microsoft.com/office/drawing/2012/chart" uri="{CE6537A1-D6FC-4f65-9D91-7224C49458BB}"/>
              </c:extLst>
            </c:dLbl>
            <c:dLbl>
              <c:idx val="3"/>
              <c:layout/>
              <c:dLblPos val="ctr"/>
              <c:showLegendKey val="0"/>
              <c:showVal val="1"/>
              <c:showCatName val="0"/>
              <c:showSerName val="0"/>
              <c:showPercent val="0"/>
              <c:showBubbleSize val="0"/>
              <c:extLst>
                <c:ext xmlns:c15="http://schemas.microsoft.com/office/drawing/2012/chart" uri="{CE6537A1-D6FC-4f65-9D91-7224C49458BB}"/>
              </c:extLst>
            </c:dLbl>
            <c:dLbl>
              <c:idx val="4"/>
              <c:layout/>
              <c:dLblPos val="ctr"/>
              <c:showLegendKey val="0"/>
              <c:showVal val="1"/>
              <c:showCatName val="0"/>
              <c:showSerName val="0"/>
              <c:showPercent val="0"/>
              <c:showBubbleSize val="0"/>
              <c:extLst>
                <c:ext xmlns:c15="http://schemas.microsoft.com/office/drawing/2012/chart" uri="{CE6537A1-D6FC-4f65-9D91-7224C49458BB}"/>
              </c:extLst>
            </c:dLbl>
            <c:dLbl>
              <c:idx val="5"/>
              <c:layout/>
              <c:dLblPos val="ctr"/>
              <c:showLegendKey val="0"/>
              <c:showVal val="1"/>
              <c:showCatName val="0"/>
              <c:showSerName val="0"/>
              <c:showPercent val="0"/>
              <c:showBubbleSize val="0"/>
              <c:extLst>
                <c:ext xmlns:c15="http://schemas.microsoft.com/office/drawing/2012/chart" uri="{CE6537A1-D6FC-4f65-9D91-7224C49458BB}"/>
              </c:extLst>
            </c:dLbl>
            <c:dLbl>
              <c:idx val="6"/>
              <c:layout/>
              <c:dLblPos val="ctr"/>
              <c:showLegendKey val="0"/>
              <c:showVal val="1"/>
              <c:showCatName val="0"/>
              <c:showSerName val="0"/>
              <c:showPercent val="0"/>
              <c:showBubbleSize val="0"/>
              <c:extLst>
                <c:ext xmlns:c15="http://schemas.microsoft.com/office/drawing/2012/chart" uri="{CE6537A1-D6FC-4f65-9D91-7224C49458BB}"/>
              </c:extLst>
            </c:dLbl>
            <c:dLbl>
              <c:idx val="7"/>
              <c:layout/>
              <c:dLblPos val="ctr"/>
              <c:showLegendKey val="0"/>
              <c:showVal val="1"/>
              <c:showCatName val="0"/>
              <c:showSerName val="0"/>
              <c:showPercent val="0"/>
              <c:showBubbleSize val="0"/>
              <c:extLst>
                <c:ext xmlns:c15="http://schemas.microsoft.com/office/drawing/2012/chart" uri="{CE6537A1-D6FC-4f65-9D91-7224C49458BB}"/>
              </c:extLst>
            </c:dLbl>
            <c:dLbl>
              <c:idx val="8"/>
              <c:layout/>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2013年</c:v>
                </c:pt>
                <c:pt idx="1">
                  <c:v>2014年</c:v>
                </c:pt>
                <c:pt idx="2">
                  <c:v>2015年</c:v>
                </c:pt>
                <c:pt idx="3">
                  <c:v>2016年</c:v>
                </c:pt>
                <c:pt idx="4">
                  <c:v>2017年</c:v>
                </c:pt>
                <c:pt idx="5">
                  <c:v>2018年</c:v>
                </c:pt>
                <c:pt idx="6">
                  <c:v>2019年</c:v>
                </c:pt>
                <c:pt idx="7">
                  <c:v>2020年</c:v>
                </c:pt>
                <c:pt idx="8">
                  <c:v>2021年</c:v>
                </c:pt>
              </c:strCache>
            </c:strRef>
          </c:cat>
          <c:val>
            <c:numRef>
              <c:f>Sheet1!$B$2:$B$10</c:f>
              <c:numCache>
                <c:formatCode>General</c:formatCode>
                <c:ptCount val="9"/>
                <c:pt idx="0">
                  <c:v>378.6</c:v>
                </c:pt>
                <c:pt idx="1">
                  <c:v>426</c:v>
                </c:pt>
                <c:pt idx="2">
                  <c:v>259.7</c:v>
                </c:pt>
                <c:pt idx="3">
                  <c:v>289.5</c:v>
                </c:pt>
                <c:pt idx="4">
                  <c:v>471.08</c:v>
                </c:pt>
                <c:pt idx="5">
                  <c:v>418.03</c:v>
                </c:pt>
                <c:pt idx="6">
                  <c:v>499.39</c:v>
                </c:pt>
                <c:pt idx="7">
                  <c:v>588.53</c:v>
                </c:pt>
                <c:pt idx="8">
                  <c:v>678.12</c:v>
                </c:pt>
              </c:numCache>
            </c:numRef>
          </c:val>
        </c:ser>
        <c:dLbls>
          <c:showLegendKey val="0"/>
          <c:showVal val="0"/>
          <c:showCatName val="0"/>
          <c:showSerName val="0"/>
          <c:showPercent val="0"/>
          <c:showBubbleSize val="0"/>
        </c:dLbls>
        <c:gapWidth val="150"/>
        <c:overlap val="100"/>
        <c:axId val="242310528"/>
        <c:axId val="242324608"/>
      </c:barChart>
      <c:catAx>
        <c:axId val="24231052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42324608"/>
        <c:crosses val="autoZero"/>
        <c:auto val="1"/>
        <c:lblAlgn val="ctr"/>
        <c:lblOffset val="100"/>
        <c:noMultiLvlLbl val="0"/>
      </c:catAx>
      <c:valAx>
        <c:axId val="2423246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42310528"/>
        <c:crosses val="autoZero"/>
        <c:crossBetween val="between"/>
      </c:valAx>
    </c:plotArea>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2021-07-21T02:03:00Z</dcterms:created>
  <dc:creator>楠楠</dc:creator>
  <cp:lastModifiedBy>楠楠</cp:lastModifiedBy>
  <dcterms:modified xsi:type="dcterms:W3CDTF">2021-07-23T02:26:32Z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DB6A4B0FCD6046B291BCE4E3EF571757</vt:lpwstr>
  </property>
</Properties>
</file>