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ind w:right="0" w:rightChars="0" w:firstLine="2730" w:firstLineChars="1300"/>
        <w:jc w:val="both"/>
        <w:textAlignment w:val="auto"/>
        <w:rPr>
          <w:rFonts w:hint="eastAsia" w:ascii="黑体" w:hAnsi="黑体" w:eastAsia="黑体" w:cs="黑体"/>
          <w:b/>
          <w:bCs/>
          <w:kern w:val="2"/>
          <w:sz w:val="32"/>
          <w:szCs w:val="32"/>
          <w:lang w:val="en-US" w:eastAsia="zh-CN" w:bidi="ar-SA"/>
        </w:rPr>
      </w:pPr>
      <w:r>
        <w:rPr>
          <w:sz w:val="21"/>
        </w:rPr>
        <mc:AlternateContent>
          <mc:Choice Requires="wps">
            <w:drawing>
              <wp:anchor distT="0" distB="0" distL="114300" distR="114300" simplePos="0" relativeHeight="251659264" behindDoc="0" locked="0" layoutInCell="1" allowOverlap="1">
                <wp:simplePos x="0" y="0"/>
                <wp:positionH relativeFrom="column">
                  <wp:posOffset>-1153160</wp:posOffset>
                </wp:positionH>
                <wp:positionV relativeFrom="paragraph">
                  <wp:posOffset>-907415</wp:posOffset>
                </wp:positionV>
                <wp:extent cx="2514600" cy="10941685"/>
                <wp:effectExtent l="4445" t="4445" r="14605" b="7620"/>
                <wp:wrapNone/>
                <wp:docPr id="86" name="矩形 2"/>
                <wp:cNvGraphicFramePr/>
                <a:graphic xmlns:a="http://schemas.openxmlformats.org/drawingml/2006/main">
                  <a:graphicData uri="http://schemas.microsoft.com/office/word/2010/wordprocessingShape">
                    <wps:wsp>
                      <wps:cNvSpPr/>
                      <wps:spPr>
                        <a:xfrm>
                          <a:off x="0" y="0"/>
                          <a:ext cx="2514600" cy="1094168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3"/>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21</w:t>
                            </w:r>
                            <w:r>
                              <w:rPr>
                                <w:rFonts w:hint="eastAsia" w:ascii="黑体" w:hAnsi="黑体" w:eastAsia="黑体"/>
                                <w:w w:val="86"/>
                                <w:sz w:val="48"/>
                              </w:rPr>
                              <w:t>年</w:t>
                            </w:r>
                          </w:p>
                          <w:p>
                            <w:pPr>
                              <w:pStyle w:val="13"/>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1</w:t>
                            </w:r>
                            <w:r>
                              <w:rPr>
                                <w:rFonts w:hint="eastAsia" w:ascii="黑体" w:hAnsi="黑体" w:eastAsia="黑体"/>
                                <w:w w:val="86"/>
                                <w:sz w:val="76"/>
                              </w:rPr>
                              <w:t>期</w:t>
                            </w:r>
                          </w:p>
                          <w:p>
                            <w:pPr>
                              <w:pStyle w:val="13"/>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95</w:t>
                            </w:r>
                            <w:r>
                              <w:rPr>
                                <w:rFonts w:hint="eastAsia" w:ascii="黑体" w:hAnsi="黑体" w:eastAsia="黑体"/>
                                <w:w w:val="86"/>
                                <w:sz w:val="36"/>
                              </w:rPr>
                              <w:t>期）</w:t>
                            </w:r>
                          </w:p>
                          <w:p>
                            <w:pPr>
                              <w:pStyle w:val="13"/>
                              <w:spacing w:beforeLines="0" w:afterLines="0"/>
                              <w:jc w:val="both"/>
                              <w:rPr>
                                <w:rFonts w:hint="eastAsia" w:ascii="黑体" w:hAnsi="黑体" w:eastAsia="黑体"/>
                                <w:w w:val="86"/>
                                <w:sz w:val="21"/>
                              </w:rPr>
                            </w:pP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w:t>
                            </w:r>
                            <w:r>
                              <w:rPr>
                                <w:rFonts w:hint="eastAsia" w:ascii="黑体" w:hAnsi="黑体" w:eastAsia="黑体"/>
                                <w:w w:val="86"/>
                                <w:sz w:val="21"/>
                                <w:szCs w:val="22"/>
                              </w:rPr>
                              <w:t>白宝山</w:t>
                            </w:r>
                          </w:p>
                          <w:p>
                            <w:pPr>
                              <w:pStyle w:val="1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裴学文、林树增、</w:t>
                            </w:r>
                          </w:p>
                          <w:p>
                            <w:pPr>
                              <w:pStyle w:val="13"/>
                              <w:spacing w:beforeLines="0" w:afterLines="0"/>
                              <w:ind w:firstLine="361"/>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 xml:space="preserve">        王  峰、</w:t>
                            </w:r>
                            <w:r>
                              <w:rPr>
                                <w:rFonts w:hint="eastAsia" w:ascii="黑体" w:hAnsi="黑体" w:eastAsia="黑体"/>
                                <w:w w:val="86"/>
                                <w:sz w:val="21"/>
                                <w:szCs w:val="22"/>
                                <w:lang w:eastAsia="zh-CN"/>
                              </w:rPr>
                              <w:t>李晓玲</w:t>
                            </w:r>
                          </w:p>
                          <w:p>
                            <w:pPr>
                              <w:pStyle w:val="1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赵秋霞</w:t>
                            </w:r>
                            <w:r>
                              <w:rPr>
                                <w:rFonts w:hint="eastAsia" w:ascii="黑体" w:hAnsi="黑体" w:eastAsia="黑体"/>
                                <w:w w:val="86"/>
                                <w:sz w:val="21"/>
                                <w:szCs w:val="22"/>
                              </w:rPr>
                              <w:t>、</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王常伟</w:t>
                            </w:r>
                            <w:r>
                              <w:rPr>
                                <w:rFonts w:hint="eastAsia" w:ascii="黑体" w:hAnsi="黑体" w:eastAsia="黑体"/>
                                <w:w w:val="86"/>
                                <w:sz w:val="21"/>
                                <w:szCs w:val="22"/>
                              </w:rPr>
                              <w:t>、</w:t>
                            </w:r>
                            <w:r>
                              <w:rPr>
                                <w:rFonts w:hint="eastAsia" w:ascii="黑体" w:hAnsi="黑体" w:eastAsia="黑体"/>
                                <w:w w:val="86"/>
                                <w:sz w:val="21"/>
                                <w:szCs w:val="22"/>
                                <w:lang w:val="en-US" w:eastAsia="zh-CN"/>
                              </w:rPr>
                              <w:t>李文素</w:t>
                            </w:r>
                            <w:r>
                              <w:rPr>
                                <w:rFonts w:hint="eastAsia" w:ascii="黑体" w:hAnsi="黑体" w:eastAsia="黑体"/>
                                <w:w w:val="86"/>
                                <w:sz w:val="21"/>
                                <w:szCs w:val="22"/>
                              </w:rPr>
                              <w:t>、</w:t>
                            </w:r>
                          </w:p>
                          <w:p>
                            <w:pPr>
                              <w:pStyle w:val="13"/>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lang w:val="en-US" w:eastAsia="zh-CN"/>
                              </w:rPr>
                              <w:t>、</w:t>
                            </w:r>
                            <w:r>
                              <w:rPr>
                                <w:rFonts w:hint="eastAsia" w:ascii="黑体" w:hAnsi="黑体" w:eastAsia="黑体"/>
                                <w:w w:val="86"/>
                                <w:sz w:val="21"/>
                                <w:szCs w:val="22"/>
                              </w:rPr>
                              <w:t>金致成</w:t>
                            </w:r>
                            <w:r>
                              <w:rPr>
                                <w:rFonts w:hint="eastAsia" w:ascii="黑体" w:hAnsi="黑体" w:eastAsia="黑体"/>
                                <w:w w:val="86"/>
                                <w:sz w:val="21"/>
                                <w:szCs w:val="22"/>
                                <w:lang w:val="en-US" w:eastAsia="zh-CN"/>
                              </w:rPr>
                              <w:t>、</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3"/>
                              <w:spacing w:beforeLines="0" w:afterLines="0"/>
                              <w:ind w:left="1080" w:hanging="1080" w:hangingChars="600"/>
                              <w:jc w:val="left"/>
                              <w:rPr>
                                <w:rFonts w:hint="eastAsia" w:ascii="黑体" w:hAnsi="黑体" w:eastAsia="黑体"/>
                                <w:w w:val="86"/>
                                <w:sz w:val="21"/>
                                <w:szCs w:val="22"/>
                                <w:lang w:val="en-US" w:eastAsia="zh-CN"/>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val="en-US" w:eastAsia="zh-CN"/>
                              </w:rPr>
                              <w:t>汇商广场</w:t>
                            </w:r>
                          </w:p>
                          <w:p>
                            <w:pPr>
                              <w:pStyle w:val="13"/>
                              <w:spacing w:beforeLines="0" w:afterLines="0"/>
                              <w:ind w:left="1077" w:leftChars="513" w:firstLine="0" w:firstLineChars="0"/>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B1座7051</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3"/>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90.8pt;margin-top:-71.45pt;height:861.55pt;width:198pt;z-index:251659264;mso-width-relative:page;mso-height-relative:page;" fillcolor="#BFBFBF" filled="t" stroked="t" coordsize="21600,21600" o:gfxdata="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bpOoLdAAAADgEAAA8AAAAAAAAAAQAgAAAA&#10;IgAAAGRycy9kb3ducmV2LnhtbFBLAQIUABQAAAAIAIdO4kCOhZabBgIAADoEAAAOAAAAAAAAAAEA&#10;IAAAACwBAABkcnMvZTJvRG9jLnhtbFBLBQYAAAAABgAGAFkBAACkBQ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3"/>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21</w:t>
                      </w:r>
                      <w:r>
                        <w:rPr>
                          <w:rFonts w:hint="eastAsia" w:ascii="黑体" w:hAnsi="黑体" w:eastAsia="黑体"/>
                          <w:w w:val="86"/>
                          <w:sz w:val="48"/>
                        </w:rPr>
                        <w:t>年</w:t>
                      </w:r>
                    </w:p>
                    <w:p>
                      <w:pPr>
                        <w:pStyle w:val="13"/>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1</w:t>
                      </w:r>
                      <w:r>
                        <w:rPr>
                          <w:rFonts w:hint="eastAsia" w:ascii="黑体" w:hAnsi="黑体" w:eastAsia="黑体"/>
                          <w:w w:val="86"/>
                          <w:sz w:val="76"/>
                        </w:rPr>
                        <w:t>期</w:t>
                      </w:r>
                    </w:p>
                    <w:p>
                      <w:pPr>
                        <w:pStyle w:val="13"/>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95</w:t>
                      </w:r>
                      <w:r>
                        <w:rPr>
                          <w:rFonts w:hint="eastAsia" w:ascii="黑体" w:hAnsi="黑体" w:eastAsia="黑体"/>
                          <w:w w:val="86"/>
                          <w:sz w:val="36"/>
                        </w:rPr>
                        <w:t>期）</w:t>
                      </w:r>
                    </w:p>
                    <w:p>
                      <w:pPr>
                        <w:pStyle w:val="13"/>
                        <w:spacing w:beforeLines="0" w:afterLines="0"/>
                        <w:jc w:val="both"/>
                        <w:rPr>
                          <w:rFonts w:hint="eastAsia" w:ascii="黑体" w:hAnsi="黑体" w:eastAsia="黑体"/>
                          <w:w w:val="86"/>
                          <w:sz w:val="21"/>
                        </w:rPr>
                      </w:pP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w:t>
                      </w:r>
                      <w:r>
                        <w:rPr>
                          <w:rFonts w:hint="eastAsia" w:ascii="黑体" w:hAnsi="黑体" w:eastAsia="黑体"/>
                          <w:w w:val="86"/>
                          <w:sz w:val="21"/>
                          <w:szCs w:val="22"/>
                        </w:rPr>
                        <w:t>白宝山</w:t>
                      </w:r>
                    </w:p>
                    <w:p>
                      <w:pPr>
                        <w:pStyle w:val="1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裴学文、林树增、</w:t>
                      </w:r>
                    </w:p>
                    <w:p>
                      <w:pPr>
                        <w:pStyle w:val="13"/>
                        <w:spacing w:beforeLines="0" w:afterLines="0"/>
                        <w:ind w:firstLine="361"/>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 xml:space="preserve">        王  峰、</w:t>
                      </w:r>
                      <w:r>
                        <w:rPr>
                          <w:rFonts w:hint="eastAsia" w:ascii="黑体" w:hAnsi="黑体" w:eastAsia="黑体"/>
                          <w:w w:val="86"/>
                          <w:sz w:val="21"/>
                          <w:szCs w:val="22"/>
                          <w:lang w:eastAsia="zh-CN"/>
                        </w:rPr>
                        <w:t>李晓玲</w:t>
                      </w:r>
                    </w:p>
                    <w:p>
                      <w:pPr>
                        <w:pStyle w:val="1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赵秋霞</w:t>
                      </w:r>
                      <w:r>
                        <w:rPr>
                          <w:rFonts w:hint="eastAsia" w:ascii="黑体" w:hAnsi="黑体" w:eastAsia="黑体"/>
                          <w:w w:val="86"/>
                          <w:sz w:val="21"/>
                          <w:szCs w:val="22"/>
                        </w:rPr>
                        <w:t>、</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王常伟</w:t>
                      </w:r>
                      <w:r>
                        <w:rPr>
                          <w:rFonts w:hint="eastAsia" w:ascii="黑体" w:hAnsi="黑体" w:eastAsia="黑体"/>
                          <w:w w:val="86"/>
                          <w:sz w:val="21"/>
                          <w:szCs w:val="22"/>
                        </w:rPr>
                        <w:t>、</w:t>
                      </w:r>
                      <w:r>
                        <w:rPr>
                          <w:rFonts w:hint="eastAsia" w:ascii="黑体" w:hAnsi="黑体" w:eastAsia="黑体"/>
                          <w:w w:val="86"/>
                          <w:sz w:val="21"/>
                          <w:szCs w:val="22"/>
                          <w:lang w:val="en-US" w:eastAsia="zh-CN"/>
                        </w:rPr>
                        <w:t>李文素</w:t>
                      </w:r>
                      <w:r>
                        <w:rPr>
                          <w:rFonts w:hint="eastAsia" w:ascii="黑体" w:hAnsi="黑体" w:eastAsia="黑体"/>
                          <w:w w:val="86"/>
                          <w:sz w:val="21"/>
                          <w:szCs w:val="22"/>
                        </w:rPr>
                        <w:t>、</w:t>
                      </w:r>
                    </w:p>
                    <w:p>
                      <w:pPr>
                        <w:pStyle w:val="13"/>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lang w:val="en-US" w:eastAsia="zh-CN"/>
                        </w:rPr>
                        <w:t>、</w:t>
                      </w:r>
                      <w:r>
                        <w:rPr>
                          <w:rFonts w:hint="eastAsia" w:ascii="黑体" w:hAnsi="黑体" w:eastAsia="黑体"/>
                          <w:w w:val="86"/>
                          <w:sz w:val="21"/>
                          <w:szCs w:val="22"/>
                        </w:rPr>
                        <w:t>金致成</w:t>
                      </w:r>
                      <w:r>
                        <w:rPr>
                          <w:rFonts w:hint="eastAsia" w:ascii="黑体" w:hAnsi="黑体" w:eastAsia="黑体"/>
                          <w:w w:val="86"/>
                          <w:sz w:val="21"/>
                          <w:szCs w:val="22"/>
                          <w:lang w:val="en-US" w:eastAsia="zh-CN"/>
                        </w:rPr>
                        <w:t>、</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3"/>
                        <w:spacing w:beforeLines="0" w:afterLines="0"/>
                        <w:ind w:left="1080" w:hanging="1080" w:hangingChars="600"/>
                        <w:jc w:val="left"/>
                        <w:rPr>
                          <w:rFonts w:hint="eastAsia" w:ascii="黑体" w:hAnsi="黑体" w:eastAsia="黑体"/>
                          <w:w w:val="86"/>
                          <w:sz w:val="21"/>
                          <w:szCs w:val="22"/>
                          <w:lang w:val="en-US" w:eastAsia="zh-CN"/>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val="en-US" w:eastAsia="zh-CN"/>
                        </w:rPr>
                        <w:t>汇商广场</w:t>
                      </w:r>
                    </w:p>
                    <w:p>
                      <w:pPr>
                        <w:pStyle w:val="13"/>
                        <w:spacing w:beforeLines="0" w:afterLines="0"/>
                        <w:ind w:left="1077" w:leftChars="513" w:firstLine="0" w:firstLineChars="0"/>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B1座7051</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3"/>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jc w:val="both"/>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政策法规</w:t>
      </w:r>
    </w:p>
    <w:p>
      <w:pPr>
        <w:keepNext w:val="0"/>
        <w:keepLines w:val="0"/>
        <w:pageBreakBefore w:val="0"/>
        <w:kinsoku/>
        <w:wordWrap/>
        <w:overflowPunct/>
        <w:topLinePunct w:val="0"/>
        <w:autoSpaceDE/>
        <w:autoSpaceDN/>
        <w:bidi w:val="0"/>
        <w:adjustRightInd/>
        <w:snapToGrid/>
        <w:spacing w:line="300" w:lineRule="exact"/>
        <w:ind w:right="0" w:rightChars="0" w:firstLine="2160" w:firstLineChars="900"/>
        <w:jc w:val="both"/>
        <w:textAlignment w:val="auto"/>
        <w:rPr>
          <w:rFonts w:hint="eastAsia"/>
          <w:b w:val="0"/>
          <w:bCs w:val="0"/>
          <w:sz w:val="21"/>
          <w:szCs w:val="21"/>
          <w:lang w:val="en-US" w:eastAsia="zh-CN"/>
        </w:rPr>
      </w:pPr>
      <w:r>
        <w:rPr>
          <w:rFonts w:hint="eastAsia" w:ascii="宋体" w:hAnsi="宋体" w:cs="宋体"/>
          <w:b w:val="0"/>
          <w:bCs w:val="0"/>
          <w:kern w:val="2"/>
          <w:sz w:val="24"/>
          <w:szCs w:val="24"/>
          <w:lang w:val="en-US" w:eastAsia="zh-CN" w:bidi="ar-SA"/>
        </w:rPr>
        <w:t xml:space="preserve">                   </w:t>
      </w:r>
      <w:r>
        <w:rPr>
          <w:rFonts w:hint="eastAsia"/>
          <w:lang w:val="en-US" w:eastAsia="zh-CN"/>
        </w:rPr>
        <w:t xml:space="preserve"> </w:t>
      </w:r>
      <w:r>
        <w:rPr>
          <w:rFonts w:hint="eastAsia" w:asciiTheme="majorEastAsia" w:hAnsiTheme="majorEastAsia" w:eastAsiaTheme="majorEastAsia" w:cstheme="majorEastAsia"/>
          <w:b w:val="0"/>
          <w:bCs/>
          <w:color w:val="auto"/>
          <w:sz w:val="21"/>
          <w:szCs w:val="21"/>
          <w:lang w:val="en-US" w:eastAsia="zh-CN"/>
        </w:rPr>
        <w:t xml:space="preserve">              </w:t>
      </w:r>
      <w:r>
        <w:rPr>
          <w:rFonts w:hint="eastAsia"/>
          <w:b/>
          <w:bCs/>
          <w:sz w:val="32"/>
          <w:szCs w:val="32"/>
          <w:lang w:val="en-US" w:eastAsia="zh-CN"/>
        </w:rPr>
        <w:t xml:space="preserve">          </w:t>
      </w:r>
      <w:r>
        <w:rPr>
          <w:rFonts w:hint="eastAsia"/>
          <w:b w:val="0"/>
          <w:bCs w:val="0"/>
          <w:sz w:val="21"/>
          <w:szCs w:val="21"/>
          <w:lang w:val="en-US" w:eastAsia="zh-CN"/>
        </w:rPr>
        <w:t xml:space="preserve">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Helvetica" w:hAnsi="Helvetica" w:eastAsia="宋体" w:cs="Helvetica"/>
          <w:b w:val="0"/>
          <w:bCs/>
          <w:color w:val="auto"/>
          <w:kern w:val="2"/>
          <w:sz w:val="21"/>
          <w:szCs w:val="21"/>
          <w:lang w:val="en-US" w:eastAsia="zh-CN" w:bidi="ar-SA"/>
        </w:rPr>
      </w:pPr>
      <w:r>
        <w:rPr>
          <w:rFonts w:hint="eastAsia" w:ascii="Helvetica" w:hAnsi="Helvetica" w:eastAsia="宋体" w:cs="Helvetica"/>
          <w:b w:val="0"/>
          <w:bCs/>
          <w:color w:val="auto"/>
          <w:kern w:val="2"/>
          <w:sz w:val="21"/>
          <w:szCs w:val="21"/>
          <w:lang w:val="en-US" w:eastAsia="zh-CN" w:bidi="ar-SA"/>
        </w:rPr>
        <w:t xml:space="preserve">               海关涉案财物拍卖若干问题的规定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kern w:val="2"/>
          <w:sz w:val="21"/>
          <w:szCs w:val="21"/>
          <w:lang w:val="en-US" w:eastAsia="zh-CN" w:bidi="ar-SA"/>
        </w:rPr>
        <w:t xml:space="preserve">                                       </w:t>
      </w:r>
      <w:r>
        <w:rPr>
          <w:rFonts w:hint="eastAsia" w:ascii="Helvetica" w:hAnsi="Helvetica" w:eastAsia="宋体" w:cs="Helvetica"/>
          <w:b w:val="0"/>
          <w:bCs/>
          <w:color w:val="auto"/>
          <w:sz w:val="21"/>
          <w:szCs w:val="21"/>
          <w:lang w:val="en-US" w:eastAsia="zh-CN"/>
        </w:rPr>
        <w:t>………………………………………… 1</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财政部发布《关于加强行政事业单位固定资产</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管理的通知》  …………………………………  15</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行业</w:t>
      </w:r>
      <w:r>
        <w:rPr>
          <w:rFonts w:hint="eastAsia" w:ascii="黑体" w:hAnsi="黑体" w:eastAsia="黑体" w:cs="黑体"/>
          <w:b/>
          <w:bCs/>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570" w:firstLineChars="170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2021年全国拍卖行业协会工作会在南昌召开</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                                     ……………………………………………… 16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lang w:val="en-US" w:eastAsia="zh-CN"/>
        </w:rPr>
      </w:pPr>
      <w:r>
        <w:rPr>
          <w:rFonts w:hint="eastAsia"/>
          <w:lang w:val="en-US" w:eastAsia="zh-CN"/>
        </w:rPr>
        <w:t>2021年各省市拍卖行业协会会长、秘书长工作</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default"/>
          <w:lang w:val="en-US" w:eastAsia="zh-CN"/>
        </w:rPr>
      </w:pPr>
      <w:r>
        <w:rPr>
          <w:rFonts w:hint="eastAsia"/>
          <w:lang w:val="en-US" w:eastAsia="zh-CN"/>
        </w:rPr>
        <w:t>会线上召开  ………………………………………18</w:t>
      </w:r>
    </w:p>
    <w:p>
      <w:pPr>
        <w:keepNext w:val="0"/>
        <w:keepLines w:val="0"/>
        <w:pageBreakBefore w:val="0"/>
        <w:kinsoku/>
        <w:wordWrap/>
        <w:overflowPunct/>
        <w:topLinePunct w:val="0"/>
        <w:autoSpaceDE/>
        <w:autoSpaceDN/>
        <w:bidi w:val="0"/>
        <w:adjustRightInd/>
        <w:snapToGrid/>
        <w:spacing w:line="300" w:lineRule="exact"/>
        <w:ind w:right="0" w:rightChars="0"/>
        <w:jc w:val="center"/>
        <w:textAlignment w:val="auto"/>
        <w:rPr>
          <w:rFonts w:hint="eastAsia" w:ascii="Helvetica" w:hAnsi="Helvetica" w:eastAsia="宋体" w:cs="Helvetica"/>
          <w:b w:val="0"/>
          <w:bCs/>
          <w:color w:val="auto"/>
          <w:sz w:val="21"/>
          <w:szCs w:val="21"/>
          <w:lang w:val="en-US" w:eastAsia="zh-CN"/>
        </w:rPr>
      </w:pPr>
      <w:r>
        <w:rPr>
          <w:rFonts w:hint="eastAsia"/>
          <w:lang w:val="en-US" w:eastAsia="zh-CN"/>
        </w:rPr>
        <w:t xml:space="preserve">                                                     </w:t>
      </w:r>
      <w:r>
        <w:rPr>
          <w:rFonts w:hint="eastAsia" w:ascii="Helvetica" w:hAnsi="Helvetica" w:eastAsia="宋体" w:cs="Helvetic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firstLine="2949" w:firstLineChars="918"/>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协会动态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lang w:val="en-US" w:eastAsia="zh-CN"/>
        </w:rPr>
      </w:pPr>
      <w:r>
        <w:rPr>
          <w:rFonts w:hint="eastAsia"/>
          <w:lang w:val="en-US" w:eastAsia="zh-CN"/>
        </w:rPr>
        <w:t>内蒙古拍卖行业协会年会暨线上直播慈善拍卖会</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570" w:firstLineChars="1700"/>
        <w:jc w:val="left"/>
        <w:textAlignment w:val="auto"/>
        <w:rPr>
          <w:rFonts w:hint="eastAsia" w:ascii="Helvetica" w:hAnsi="Helvetica" w:eastAsia="宋体" w:cs="Helvetica"/>
          <w:b w:val="0"/>
          <w:bCs/>
          <w:color w:val="auto"/>
          <w:sz w:val="21"/>
          <w:szCs w:val="21"/>
          <w:lang w:val="en-US" w:eastAsia="zh-CN"/>
        </w:rPr>
      </w:pPr>
      <w:r>
        <w:rPr>
          <w:rFonts w:hint="eastAsia"/>
          <w:lang w:val="en-US" w:eastAsia="zh-CN"/>
        </w:rPr>
        <w:t xml:space="preserve">…………………………………………………… 22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lang w:val="en-US" w:eastAsia="zh-CN"/>
        </w:rPr>
      </w:pPr>
      <w:r>
        <w:rPr>
          <w:rFonts w:hint="eastAsia"/>
          <w:lang w:val="en-US" w:eastAsia="zh-CN"/>
        </w:rPr>
        <w:t xml:space="preserve">                            内蒙古拍卖行业协会五届五次理事会暨五届八次</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lang w:val="en-US" w:eastAsia="zh-CN"/>
        </w:rPr>
      </w:pPr>
      <w:r>
        <w:rPr>
          <w:rFonts w:hint="eastAsia"/>
          <w:lang w:val="en-US" w:eastAsia="zh-CN"/>
        </w:rPr>
        <w:t xml:space="preserve">                              常务理事会圆满落幕  ……………………</w:t>
      </w:r>
      <w:r>
        <w:rPr>
          <w:rFonts w:hint="eastAsia" w:ascii="Helvetica" w:hAnsi="Helvetica" w:eastAsia="宋体" w:cs="Helvetica"/>
          <w:b w:val="0"/>
          <w:bCs/>
          <w:color w:val="auto"/>
          <w:sz w:val="21"/>
          <w:szCs w:val="21"/>
          <w:lang w:val="en-US" w:eastAsia="zh-CN"/>
        </w:rPr>
        <w:t>………23</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lang w:val="en-US" w:eastAsia="zh-CN"/>
        </w:rPr>
      </w:pPr>
      <w:r>
        <w:rPr>
          <w:rFonts w:hint="eastAsia"/>
          <w:lang w:val="en-US" w:eastAsia="zh-CN"/>
        </w:rPr>
        <w:t xml:space="preserve">                           内拍协王志江会长、娜晴秘书长拜会商务厅分管</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ascii="Helvetica" w:hAnsi="Helvetica" w:eastAsia="宋体" w:cs="Helvetica"/>
          <w:b w:val="0"/>
          <w:bCs/>
          <w:color w:val="auto"/>
          <w:sz w:val="21"/>
          <w:szCs w:val="21"/>
          <w:lang w:val="en-US" w:eastAsia="zh-CN"/>
        </w:rPr>
      </w:pPr>
      <w:r>
        <w:rPr>
          <w:rFonts w:hint="eastAsia"/>
          <w:lang w:val="en-US" w:eastAsia="zh-CN"/>
        </w:rPr>
        <w:t xml:space="preserve">                                拍卖业务领导  ……………………………</w:t>
      </w:r>
      <w:r>
        <w:rPr>
          <w:rFonts w:hint="eastAsia" w:ascii="Helvetica" w:hAnsi="Helvetica" w:eastAsia="宋体" w:cs="Helvetica"/>
          <w:b w:val="0"/>
          <w:bCs/>
          <w:color w:val="auto"/>
          <w:sz w:val="21"/>
          <w:szCs w:val="21"/>
          <w:lang w:val="en-US" w:eastAsia="zh-CN"/>
        </w:rPr>
        <w:t>………22</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360" w:firstLineChars="1600"/>
        <w:jc w:val="both"/>
        <w:textAlignment w:val="auto"/>
        <w:outlineLvl w:val="9"/>
        <w:rPr>
          <w:rFonts w:hint="eastAsia"/>
          <w:lang w:val="en-US" w:eastAsia="zh-CN"/>
        </w:rPr>
      </w:pPr>
      <w:r>
        <w:rPr>
          <w:rFonts w:hint="eastAsia"/>
          <w:lang w:val="en-US" w:eastAsia="zh-CN"/>
        </w:rPr>
        <w:t>2020年内蒙古自治区拍卖企业信用等级评估</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lang w:val="en-US" w:eastAsia="zh-CN"/>
        </w:rPr>
      </w:pPr>
      <w:r>
        <w:rPr>
          <w:rFonts w:hint="eastAsia"/>
          <w:lang w:val="en-US" w:eastAsia="zh-CN"/>
        </w:rPr>
        <w:t xml:space="preserve">                                结果公告   ……………………………………… 22</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360" w:leftChars="800" w:right="0" w:rightChars="0" w:hanging="1680" w:hangingChars="800"/>
        <w:jc w:val="both"/>
        <w:textAlignment w:val="auto"/>
        <w:outlineLvl w:val="9"/>
        <w:rPr>
          <w:rFonts w:hint="eastAsia"/>
          <w:lang w:val="en-US" w:eastAsia="zh-CN"/>
        </w:rPr>
      </w:pPr>
      <w:r>
        <w:rPr>
          <w:rFonts w:hint="eastAsia"/>
          <w:lang w:val="en-US" w:eastAsia="zh-CN"/>
        </w:rPr>
        <w:t xml:space="preserve">                关于发布《内蒙古拍卖企业新冠肺炎疫情常态化</w:t>
      </w:r>
    </w:p>
    <w:p>
      <w:pPr>
        <w:keepNext w:val="0"/>
        <w:keepLines w:val="0"/>
        <w:pageBreakBefore w:val="0"/>
        <w:widowControl w:val="0"/>
        <w:kinsoku/>
        <w:wordWrap/>
        <w:overflowPunct/>
        <w:topLinePunct w:val="0"/>
        <w:autoSpaceDE/>
        <w:autoSpaceDN/>
        <w:bidi w:val="0"/>
        <w:adjustRightInd/>
        <w:snapToGrid/>
        <w:spacing w:line="240" w:lineRule="auto"/>
        <w:ind w:left="3360" w:leftChars="1600" w:right="0" w:rightChars="0" w:firstLine="0" w:firstLineChars="0"/>
        <w:jc w:val="both"/>
        <w:textAlignment w:val="auto"/>
        <w:outlineLvl w:val="9"/>
        <w:rPr>
          <w:rFonts w:hint="eastAsia"/>
          <w:lang w:val="en-US" w:eastAsia="zh-CN"/>
        </w:rPr>
      </w:pPr>
      <w:r>
        <w:rPr>
          <w:rFonts w:hint="eastAsia"/>
          <w:lang w:val="en-US" w:eastAsia="zh-CN"/>
        </w:rPr>
        <w:t>防控技术指引》的通知 ………………………… 22</w:t>
      </w:r>
    </w:p>
    <w:p>
      <w:pPr>
        <w:keepNext w:val="0"/>
        <w:keepLines w:val="0"/>
        <w:pageBreakBefore w:val="0"/>
        <w:widowControl w:val="0"/>
        <w:kinsoku/>
        <w:wordWrap/>
        <w:overflowPunct/>
        <w:topLinePunct w:val="0"/>
        <w:autoSpaceDE/>
        <w:autoSpaceDN/>
        <w:bidi w:val="0"/>
        <w:adjustRightInd/>
        <w:snapToGrid/>
        <w:spacing w:line="240" w:lineRule="auto"/>
        <w:ind w:left="3360" w:leftChars="1600" w:right="0" w:rightChars="0" w:firstLine="0" w:firstLineChars="0"/>
        <w:jc w:val="both"/>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949" w:firstLineChars="918"/>
        <w:jc w:val="both"/>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通知公告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360" w:firstLineChars="1600"/>
        <w:jc w:val="both"/>
        <w:textAlignment w:val="auto"/>
        <w:outlineLvl w:val="9"/>
        <w:rPr>
          <w:rFonts w:hint="eastAsia"/>
          <w:lang w:val="en-US" w:eastAsia="zh-CN"/>
        </w:rPr>
      </w:pPr>
      <w:r>
        <w:rPr>
          <w:rFonts w:hint="default"/>
          <w:lang w:val="en-US" w:eastAsia="zh-CN"/>
        </w:rPr>
        <w:t>关于拍卖师变更注册单位的说明</w:t>
      </w:r>
      <w:r>
        <w:rPr>
          <w:rFonts w:hint="eastAsia"/>
          <w:lang w:val="en-US" w:eastAsia="zh-CN"/>
        </w:rPr>
        <w:t xml:space="preserve"> ……………… 22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360" w:firstLineChars="1600"/>
        <w:jc w:val="both"/>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default"/>
          <w:lang w:val="en-US" w:eastAsia="zh-CN"/>
        </w:rPr>
      </w:pPr>
      <w:r>
        <w:rPr>
          <w:rFonts w:hint="default"/>
          <w:lang w:val="en-US" w:eastAsia="zh-CN"/>
        </w:rPr>
        <w:t>关于转发并做好《罚没财物管理办法》有关工作</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default"/>
          <w:lang w:val="en-US" w:eastAsia="zh-CN"/>
        </w:rPr>
      </w:pPr>
      <w:r>
        <w:rPr>
          <w:rFonts w:hint="default"/>
          <w:lang w:val="en-US" w:eastAsia="zh-CN"/>
        </w:rPr>
        <w:t>的通知</w:t>
      </w:r>
      <w:r>
        <w:rPr>
          <w:rFonts w:hint="eastAsia"/>
          <w:lang w:val="en-US" w:eastAsia="zh-CN"/>
        </w:rPr>
        <w:t xml:space="preserve"> …………………………………………… 22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949" w:firstLineChars="918"/>
        <w:jc w:val="both"/>
        <w:textAlignment w:val="auto"/>
        <w:outlineLvl w:val="9"/>
        <w:rPr>
          <w:rFonts w:hint="default"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949" w:firstLineChars="918"/>
        <w:jc w:val="both"/>
        <w:textAlignment w:val="auto"/>
        <w:outlineLvl w:val="9"/>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949" w:firstLineChars="918"/>
        <w:jc w:val="both"/>
        <w:textAlignment w:val="auto"/>
        <w:outlineLvl w:val="9"/>
        <w:rPr>
          <w:rFonts w:hint="eastAsia"/>
          <w:lang w:val="en-US" w:eastAsia="zh-CN"/>
        </w:rPr>
      </w:pPr>
      <w:r>
        <w:rPr>
          <w:rFonts w:hint="eastAsia" w:ascii="黑体" w:hAnsi="黑体" w:eastAsia="黑体" w:cs="黑体"/>
          <w:b/>
          <w:bCs/>
          <w:sz w:val="32"/>
          <w:szCs w:val="32"/>
          <w:lang w:val="en-US" w:eastAsia="zh-CN"/>
        </w:rPr>
        <w:t>数据发布</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360" w:firstLineChars="1600"/>
        <w:jc w:val="both"/>
        <w:textAlignment w:val="auto"/>
        <w:outlineLvl w:val="9"/>
        <w:rPr>
          <w:rFonts w:hint="eastAsia"/>
          <w:lang w:val="en-US" w:eastAsia="zh-CN"/>
        </w:rPr>
      </w:pPr>
      <w:r>
        <w:rPr>
          <w:rFonts w:hint="eastAsia"/>
          <w:lang w:val="en-US" w:eastAsia="zh-CN"/>
        </w:rPr>
        <w:t>全区拍卖行业2020年1-12月份经营统计数据分析</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990" w:firstLineChars="1900"/>
        <w:jc w:val="both"/>
        <w:textAlignment w:val="auto"/>
        <w:outlineLvl w:val="9"/>
        <w:rPr>
          <w:rFonts w:hint="eastAsia"/>
          <w:lang w:val="en-US" w:eastAsia="zh-CN"/>
        </w:rPr>
      </w:pPr>
      <w:r>
        <w:rPr>
          <w:rFonts w:hint="eastAsia"/>
          <w:lang w:val="en-US" w:eastAsia="zh-CN"/>
        </w:rPr>
        <w:t>……………………………………………… 22</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949" w:firstLineChars="918"/>
        <w:jc w:val="both"/>
        <w:textAlignment w:val="auto"/>
        <w:outlineLvl w:val="9"/>
        <w:rPr>
          <w:rFonts w:hint="eastAsia" w:asciiTheme="minorHAnsi" w:hAnsiTheme="minorHAnsi" w:eastAsiaTheme="minorEastAsia" w:cstheme="minorBidi"/>
          <w:b w:val="0"/>
          <w:bCs w:val="0"/>
          <w:kern w:val="2"/>
          <w:sz w:val="21"/>
          <w:szCs w:val="24"/>
          <w:lang w:val="en-US" w:eastAsia="zh-CN" w:bidi="ar-SA"/>
        </w:rPr>
      </w:pPr>
      <w:r>
        <w:rPr>
          <w:rFonts w:hint="eastAsia" w:ascii="黑体" w:hAnsi="黑体" w:eastAsia="黑体" w:cs="黑体"/>
          <w:b/>
          <w:bCs/>
          <w:sz w:val="32"/>
          <w:szCs w:val="32"/>
          <w:lang w:val="en-US" w:eastAsia="zh-CN"/>
        </w:rPr>
        <w:t>拍卖论坛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leftChars="0" w:right="0" w:firstLine="3360" w:firstLineChars="1600"/>
        <w:rPr>
          <w:rFonts w:hint="eastAsia" w:asciiTheme="minorHAnsi" w:hAnsiTheme="minorHAnsi" w:eastAsiaTheme="minorEastAsia" w:cstheme="minorBidi"/>
          <w:b w:val="0"/>
          <w:bCs w:val="0"/>
          <w:kern w:val="2"/>
          <w:sz w:val="21"/>
          <w:szCs w:val="24"/>
          <w:lang w:val="en-US" w:eastAsia="zh-CN" w:bidi="ar-SA"/>
        </w:rPr>
      </w:pPr>
      <w:r>
        <w:rPr>
          <w:rFonts w:hint="eastAsia" w:asciiTheme="minorHAnsi" w:hAnsiTheme="minorHAnsi" w:eastAsiaTheme="minorEastAsia" w:cstheme="minorBidi"/>
          <w:b w:val="0"/>
          <w:bCs w:val="0"/>
          <w:kern w:val="2"/>
          <w:sz w:val="21"/>
          <w:szCs w:val="24"/>
          <w:lang w:val="en-US" w:eastAsia="zh-CN" w:bidi="ar-SA"/>
        </w:rPr>
        <w:t>享受槌起槌落间的乐趣…………………………… 22</w:t>
      </w:r>
    </w:p>
    <w:p>
      <w:pPr>
        <w:ind w:firstLine="3360" w:firstLineChars="1600"/>
        <w:rPr>
          <w:rFonts w:hint="default"/>
          <w:lang w:val="en-US" w:eastAsia="zh-CN"/>
        </w:rPr>
      </w:pPr>
      <w:r>
        <w:rPr>
          <w:rFonts w:hint="eastAsia"/>
          <w:lang w:val="en-US" w:eastAsia="zh-CN"/>
        </w:rPr>
        <w:t>网络拍卖策划新思维……………………………… 22</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949" w:firstLineChars="918"/>
        <w:jc w:val="both"/>
        <w:textAlignment w:val="auto"/>
        <w:outlineLvl w:val="9"/>
        <w:rPr>
          <w:rFonts w:hint="eastAsia"/>
          <w:lang w:val="en-US" w:eastAsia="zh-CN"/>
        </w:rPr>
      </w:pPr>
      <w:r>
        <w:rPr>
          <w:rFonts w:hint="eastAsia" w:ascii="黑体" w:hAnsi="黑体" w:eastAsia="黑体" w:cs="黑体"/>
          <w:b/>
          <w:bCs/>
          <w:sz w:val="32"/>
          <w:szCs w:val="32"/>
          <w:lang w:val="en-US" w:eastAsia="zh-CN"/>
        </w:rPr>
        <w:t>艺术鉴赏</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360" w:firstLineChars="1600"/>
        <w:jc w:val="both"/>
        <w:textAlignment w:val="auto"/>
        <w:outlineLvl w:val="9"/>
        <w:rPr>
          <w:rFonts w:hint="eastAsia"/>
          <w:lang w:val="en-US" w:eastAsia="zh-CN"/>
        </w:rPr>
      </w:pPr>
      <w:r>
        <w:rPr>
          <w:rFonts w:hint="eastAsia"/>
          <w:lang w:val="en-US" w:eastAsia="zh-CN"/>
        </w:rPr>
        <w:t>史上最震撼的御玺拍卖 见证封建王朝的兴衰史</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990" w:firstLineChars="1900"/>
        <w:jc w:val="both"/>
        <w:textAlignment w:val="auto"/>
        <w:outlineLvl w:val="9"/>
        <w:rPr>
          <w:rFonts w:hint="eastAsia"/>
          <w:lang w:val="en-US" w:eastAsia="zh-CN"/>
        </w:rPr>
      </w:pPr>
      <w:r>
        <w:rPr>
          <w:rFonts w:hint="eastAsia"/>
          <w:lang w:val="en-US" w:eastAsia="zh-CN"/>
        </w:rPr>
        <w:t>……………………………………………… 22</w:t>
      </w:r>
    </w:p>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1927" w:firstLineChars="918"/>
        <w:jc w:val="both"/>
        <w:textAlignment w:val="auto"/>
        <w:outlineLvl w:val="9"/>
        <w:rPr>
          <w:rFonts w:hint="default" w:eastAsiaTheme="minorEastAsia"/>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lang w:val="en-US" w:eastAsia="zh-CN"/>
        </w:rPr>
        <w:t xml:space="preserve"> </w:t>
      </w:r>
    </w:p>
    <w:p>
      <w:pPr>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海关涉案财物拍卖若干问题的规定</w:t>
      </w:r>
    </w:p>
    <w:p>
      <w:pPr>
        <w:spacing w:line="560" w:lineRule="exact"/>
        <w:jc w:val="center"/>
        <w:rPr>
          <w:rFonts w:hint="eastAsia" w:ascii="宋体" w:hAnsi="宋体" w:eastAsia="宋体" w:cs="宋体"/>
          <w:b/>
          <w:bCs/>
          <w:sz w:val="28"/>
          <w:szCs w:val="28"/>
        </w:rPr>
      </w:pP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为了规范海关涉案财物拍卖行为，保护当事人的合法权益，根据《中华人民共和国海关法》《中华人民共和国拍卖法》等法律，制定本规定。</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一、</w:t>
      </w:r>
      <w:r>
        <w:rPr>
          <w:rFonts w:hint="eastAsia" w:ascii="宋体" w:hAnsi="宋体" w:eastAsia="宋体" w:cs="宋体"/>
          <w:sz w:val="28"/>
          <w:szCs w:val="28"/>
        </w:rPr>
        <w:t>海关涉案财物拍卖是指海关依法委托拍卖企业以拍卖的方式公开处理依法查扣的涉案财物。</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二、</w:t>
      </w:r>
      <w:r>
        <w:rPr>
          <w:rFonts w:hint="eastAsia" w:ascii="宋体" w:hAnsi="宋体" w:eastAsia="宋体" w:cs="宋体"/>
          <w:sz w:val="28"/>
          <w:szCs w:val="28"/>
        </w:rPr>
        <w:t>海关涉案财物拍卖活动应当遵守有关法律、行政法规，遵循公开、公平、公正、诚实信用的原则，并接受社会监督。</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三、</w:t>
      </w:r>
      <w:r>
        <w:rPr>
          <w:rFonts w:hint="eastAsia" w:ascii="宋体" w:hAnsi="宋体" w:eastAsia="宋体" w:cs="宋体"/>
          <w:sz w:val="28"/>
          <w:szCs w:val="28"/>
        </w:rPr>
        <w:t>依照《中华人民共和国拍卖法》和《中华人民共和国公司法》等法律法规设立并取得从事相关拍卖业务许可的拍卖企业可参与海关涉案财物的拍卖。</w:t>
      </w:r>
    </w:p>
    <w:p>
      <w:pPr>
        <w:pStyle w:val="15"/>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海关涉案财物的拍卖权通过竞价、摇珠或者集体决策等方式合理确定。海关可以参考行业协会依据国家标准评定的拍卖企业资质等级，结合实际情况通过综合评价的方式建立涉案财物公开拍卖企业名单库。</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四、海关应与拍卖企业签订书面委托拍卖合同，明确双方的权利和义务。</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五、实施网络拍卖的，拍卖企业应与海关协商选择网络拍卖平台，并与网络拍卖平台签订服务协议，明确平台和拍卖企业开展网络拍卖工作的权利和义务。</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海关在与拍卖企业签订的书面委托拍卖合同中，就拍卖企业选择的网络拍卖平台应具备的条件和应承担的事项作如下约定：</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（一）具备符合《中华人民共和国拍卖法》等相关法律、法规、规章的规则；</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（二）具备保障网络拍卖业务正常开展的计算机信息系统，功能包括但不限于：发布公告，拍卖标的网上展示，网络竞价，记录竞价过程，生成电子成交确认书，网上结算服务，网络与现场同步拍卖；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（三）具备开展网络拍卖活动的业务流程，须包括：用户注册，拍卖主体资格审核，公告发布，拍卖标的网上展示，竞买登记，网络竞价及成交确认，网上结算，资料存档；</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（四）具有与所从事的网络拍卖业务和规模相配套的服务器、网络设施、技术人员、拍卖专业人员和资金；</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（五）根据《互联网信息服务管理办法》，按照平台的性质取得许可或备案；</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（六）保障网络安全，确保拍卖平台正常运行；</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（七）保证拍卖全程信息数据真实、准确、完整和安全；</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（八）竞买代码及其出价信息应当在网络竞买页面实时显示，并储存、显示竞价全程；</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（九）其他网络平台应具备的条件和应承担的工作。</w:t>
      </w:r>
    </w:p>
    <w:p>
      <w:pPr>
        <w:spacing w:line="560" w:lineRule="exact"/>
        <w:ind w:firstLine="560" w:firstLineChars="200"/>
        <w:rPr>
          <w:rFonts w:hint="eastAsia" w:ascii="宋体" w:hAnsi="宋体" w:eastAsia="宋体" w:cs="宋体"/>
          <w:bCs/>
          <w:sz w:val="28"/>
          <w:szCs w:val="28"/>
        </w:rPr>
      </w:pPr>
      <w:r>
        <w:rPr>
          <w:rFonts w:hint="eastAsia" w:ascii="宋体" w:hAnsi="宋体" w:eastAsia="宋体" w:cs="宋体"/>
          <w:sz w:val="28"/>
          <w:szCs w:val="28"/>
        </w:rPr>
        <w:t>六、海关涉案财物拍卖设定保留价。海关委托有资质的评估机构对涉案财物价值进行评估，拍卖保留价由海关参照评估价合理确定。</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七、</w:t>
      </w:r>
      <w:r>
        <w:rPr>
          <w:rFonts w:hint="eastAsia" w:ascii="宋体" w:hAnsi="宋体" w:eastAsia="宋体" w:cs="宋体"/>
          <w:sz w:val="28"/>
          <w:szCs w:val="28"/>
        </w:rPr>
        <w:t>拍卖企业应于拍卖日7日前通过报纸或其他新闻媒介发布拍卖公告。拍卖公告应当载明下列事项：</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（一）拍卖的时间、地点；</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（二）拍卖标的；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（三）拍卖标的展示时间、地点；</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（四）参与竞买应当办理的手续；</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（五）拍卖保证金；</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（六）拍卖标的已知的瑕疵和权利负担；</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（七）海关监督方式等；</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（八）实施网络拍卖的，应当载明网络拍卖平台；</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（九）需要公告的其他事项。</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实施网络拍卖的，除上述应当载明的信息外，还须在网络拍卖平台载明下列信息：</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（一）拍卖起拍价以及竞价规则；</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（二）拍卖款项支付方式和账户；</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（三）拍卖标的现状的文字说明、视频或者照片等；</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（四）需要在网络拍卖平台公示的其他信息。</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八</w:t>
      </w:r>
      <w:r>
        <w:rPr>
          <w:rFonts w:hint="eastAsia" w:ascii="宋体" w:hAnsi="宋体" w:eastAsia="宋体" w:cs="宋体"/>
          <w:sz w:val="28"/>
          <w:szCs w:val="28"/>
        </w:rPr>
        <w:t>、下列事项在拍卖实施时应在拍卖规则、拍卖须知等拍卖文件中予以特别提示：</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（一）委托代理人参加竞买的，须办理相关委托手续，并在拍卖前经拍卖企业确认；</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（二）拍卖标的以实物现状为准；</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（三）拍卖标的已知的瑕疵和权利负担，海关已予以公示和特别提示的，且在拍卖文件中声明不能保证拍卖标的真伪或者品质的，不承担瑕疵担保责任；</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（四）竞买人决定参与竞买的，视为对拍卖标的完全了解，并接受拍卖标的一切已知和未知瑕疵和权利负担；</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（五）海关及拍卖企业不能向买受人提供除罚没车辆以外其他拍卖标的的成交款发票，不接受买受人任何理由提出的退换货要求；</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（六）其他应予特别提示的事项。</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实施网络拍卖的，应当在拍卖公告发布当日通过网络拍卖平台对上述内容予以特别提示。</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九、</w:t>
      </w:r>
      <w:r>
        <w:rPr>
          <w:rFonts w:hint="eastAsia" w:ascii="宋体" w:hAnsi="宋体" w:eastAsia="宋体" w:cs="宋体"/>
          <w:sz w:val="28"/>
          <w:szCs w:val="28"/>
        </w:rPr>
        <w:t>拍卖企业应当在拍卖前展示拍卖标的，并提供查看拍卖标的的条件及有关资料。展示时间不得少于</w:t>
      </w:r>
      <w:r>
        <w:rPr>
          <w:rFonts w:hint="eastAsia" w:ascii="宋体" w:hAnsi="宋体" w:eastAsia="宋体" w:cs="宋体"/>
          <w:bCs/>
          <w:sz w:val="28"/>
          <w:szCs w:val="28"/>
        </w:rPr>
        <w:t>2</w:t>
      </w:r>
      <w:r>
        <w:rPr>
          <w:rFonts w:hint="eastAsia" w:ascii="宋体" w:hAnsi="宋体" w:eastAsia="宋体" w:cs="宋体"/>
          <w:sz w:val="28"/>
          <w:szCs w:val="28"/>
        </w:rPr>
        <w:t>日，鲜活物品或其他不易保存的物品除外。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十、</w:t>
      </w:r>
      <w:r>
        <w:rPr>
          <w:rFonts w:hint="eastAsia" w:ascii="宋体" w:hAnsi="宋体" w:eastAsia="宋体" w:cs="宋体"/>
          <w:sz w:val="28"/>
          <w:szCs w:val="28"/>
        </w:rPr>
        <w:t>海关涉案财物拍卖不限制参与竞买人数。</w:t>
      </w:r>
      <w:r>
        <w:rPr>
          <w:rFonts w:hint="eastAsia" w:ascii="宋体" w:hAnsi="宋体" w:eastAsia="宋体" w:cs="宋体"/>
          <w:bCs/>
          <w:sz w:val="28"/>
          <w:szCs w:val="28"/>
        </w:rPr>
        <w:t>1</w:t>
      </w:r>
      <w:r>
        <w:rPr>
          <w:rFonts w:hint="eastAsia" w:ascii="宋体" w:hAnsi="宋体" w:eastAsia="宋体" w:cs="宋体"/>
          <w:sz w:val="28"/>
          <w:szCs w:val="28"/>
        </w:rPr>
        <w:t>人参与竞拍，且出价不低于保留价的，拍卖成交。</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十一、竞买人</w:t>
      </w:r>
      <w:r>
        <w:rPr>
          <w:rFonts w:hint="eastAsia" w:ascii="宋体" w:hAnsi="宋体" w:eastAsia="宋体" w:cs="宋体"/>
          <w:sz w:val="28"/>
          <w:szCs w:val="28"/>
        </w:rPr>
        <w:t>应在参加拍卖前按公告指定渠道实名交纳保证金；未交纳的，不得参加竞买。</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保证金收取数额由海关与拍卖企业协商确定。</w:t>
      </w:r>
    </w:p>
    <w:p>
      <w:pPr>
        <w:spacing w:line="5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十</w:t>
      </w:r>
      <w:r>
        <w:rPr>
          <w:rFonts w:hint="eastAsia" w:ascii="宋体" w:hAnsi="宋体" w:eastAsia="宋体" w:cs="宋体"/>
          <w:sz w:val="28"/>
          <w:szCs w:val="28"/>
        </w:rPr>
        <w:t>二、拍卖成交后，买受人交纳的保证金可以充抵价款，</w:t>
      </w:r>
      <w:r>
        <w:rPr>
          <w:rFonts w:hint="eastAsia" w:ascii="宋体" w:hAnsi="宋体" w:eastAsia="宋体" w:cs="宋体"/>
          <w:bCs/>
          <w:sz w:val="28"/>
          <w:szCs w:val="28"/>
        </w:rPr>
        <w:t>买受人应按竞买协议或者拍卖成交确认书约定的期限和渠道向拍卖企业支付剩余价款。拍卖企业应当在收到全部价款后，按海关要求将拍卖价款直接缴库或汇至海关指定银行账户，经确认缴库或拍卖价款到账后方可办理提货手续。</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十三、拍卖成交后，买受人应在竞买协议或者拍卖成交确认书约定的期限内受领拍卖标的。</w:t>
      </w:r>
      <w:r>
        <w:rPr>
          <w:rFonts w:hint="eastAsia" w:ascii="宋体" w:hAnsi="宋体" w:eastAsia="宋体" w:cs="宋体"/>
          <w:sz w:val="28"/>
          <w:szCs w:val="28"/>
        </w:rPr>
        <w:t>买受人未能按照约定取得拍卖标的的，有权要求拍卖人或者海关承担违约责任。买受人未按照约定受领拍卖标的的，应当支付由此产生的保管费用。</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四、买受人在拍卖成交后悔拍的，需要承担违约责任，主要包括：交纳的保证金不予退还，依次用于支付拍卖产生的费用损失、弥补重新拍卖价款低于原拍卖价款的差价；不足支付部分，应由海关或拍卖企业对原买受人采取但不限于寄送追款通知书、刊登追款公告、仲裁、诉讼等方式进行追缴。保证金仍有剩余的，按余款性质依法进行处置。</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拍卖标的悔拍后重新拍卖的，原买受人不得参加竞买。</w:t>
      </w:r>
    </w:p>
    <w:p>
      <w:pPr>
        <w:spacing w:line="560" w:lineRule="exact"/>
        <w:ind w:firstLine="560" w:firstLineChars="200"/>
        <w:rPr>
          <w:rFonts w:hint="eastAsia" w:ascii="宋体" w:hAnsi="宋体" w:eastAsia="宋体" w:cs="宋体"/>
          <w:color w:val="FF0000"/>
          <w:sz w:val="28"/>
          <w:szCs w:val="28"/>
        </w:rPr>
      </w:pPr>
      <w:r>
        <w:rPr>
          <w:rFonts w:hint="eastAsia" w:ascii="宋体" w:hAnsi="宋体" w:eastAsia="宋体" w:cs="宋体"/>
          <w:bCs/>
          <w:sz w:val="28"/>
          <w:szCs w:val="28"/>
        </w:rPr>
        <w:t>十五</w:t>
      </w:r>
      <w:r>
        <w:rPr>
          <w:rFonts w:hint="eastAsia" w:ascii="宋体" w:hAnsi="宋体" w:eastAsia="宋体" w:cs="宋体"/>
          <w:sz w:val="28"/>
          <w:szCs w:val="28"/>
        </w:rPr>
        <w:t>、</w:t>
      </w:r>
      <w:r>
        <w:rPr>
          <w:rFonts w:hint="eastAsia" w:ascii="宋体" w:hAnsi="宋体" w:eastAsia="宋体" w:cs="宋体"/>
          <w:color w:val="000000"/>
          <w:sz w:val="28"/>
          <w:szCs w:val="28"/>
        </w:rPr>
        <w:t>海关涉案财物拍卖竞价期间无人应价或竞买人的最高应价未达到保留价的，拍卖流拍。海关委托再次拍卖的保留价可根据评估机构重新评定的价格确定，也可以在原保留价的基础上酌情降低，但每次降低的数额不得超过前次保留价的百分之二十。</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color w:val="000000"/>
          <w:sz w:val="28"/>
          <w:szCs w:val="28"/>
        </w:rPr>
        <w:t>十六</w:t>
      </w:r>
      <w:r>
        <w:rPr>
          <w:rFonts w:hint="eastAsia" w:ascii="宋体" w:hAnsi="宋体" w:eastAsia="宋体" w:cs="宋体"/>
          <w:color w:val="000000"/>
          <w:sz w:val="28"/>
          <w:szCs w:val="28"/>
        </w:rPr>
        <w:t>、</w:t>
      </w:r>
      <w:r>
        <w:rPr>
          <w:rFonts w:hint="eastAsia" w:ascii="宋体" w:hAnsi="宋体" w:eastAsia="宋体" w:cs="宋体"/>
          <w:sz w:val="28"/>
          <w:szCs w:val="28"/>
        </w:rPr>
        <w:t>拍卖的中止、终止、撤回：</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（一）有下列情形之一的，应当中止拍卖：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1．海关在拍卖会前因正当理由书面通知拍卖企业中止拍卖的；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2．发生意外事件致使拍卖活动暂时不能进行的；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3．出现其他依法应当中止的情形的。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中止拍卖由拍卖企业宣布。中止拍卖的事由消失后，应恢复拍卖。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（二）有下列情形之一的，应当终止拍卖：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1．发生不可抗力或意外事件致使拍卖活动无法进行的；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2．拍卖标的在拍卖前毁损、灭失的；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3．海关在拍卖会前因正当理由书面通知拍卖企业终止拍卖的；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4．出现其他依法应当终止的情形的。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终止拍卖由拍卖企业宣布。拍卖终止后，海关要求继续进行拍卖的，应当重新办理拍卖手续。</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（三）海关在拍卖开始前可以撤回拍卖标的，但应及时说明有关原因或理由。</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网络拍卖平台发现系统故障、安全隐患等紧急情况的，可以先行暂缓拍卖，并立即报告海关。</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十七、</w:t>
      </w:r>
      <w:r>
        <w:rPr>
          <w:rFonts w:hint="eastAsia" w:ascii="宋体" w:hAnsi="宋体" w:eastAsia="宋体" w:cs="宋体"/>
          <w:sz w:val="28"/>
          <w:szCs w:val="28"/>
        </w:rPr>
        <w:t>海关有权对委托拍卖标的的拍卖活动进行监督。</w:t>
      </w:r>
    </w:p>
    <w:p>
      <w:pPr>
        <w:spacing w:line="560" w:lineRule="exact"/>
        <w:ind w:firstLine="560" w:firstLineChars="200"/>
        <w:rPr>
          <w:rFonts w:hint="eastAsia" w:ascii="宋体" w:hAnsi="宋体" w:eastAsia="宋体" w:cs="宋体"/>
          <w:bCs/>
          <w:sz w:val="28"/>
          <w:szCs w:val="28"/>
        </w:rPr>
      </w:pPr>
      <w:r>
        <w:rPr>
          <w:rFonts w:hint="eastAsia" w:ascii="宋体" w:hAnsi="宋体" w:eastAsia="宋体" w:cs="宋体"/>
          <w:sz w:val="28"/>
          <w:szCs w:val="28"/>
        </w:rPr>
        <w:t>实施网络拍卖的，网络拍卖平台不得在拍卖程序中设置阻碍竞买人报名、参拍、竞价以及监视竞买人信息等后台操控功能；网络拍卖平台提供的服务无正当理由不得中断。</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十八、</w:t>
      </w:r>
      <w:r>
        <w:rPr>
          <w:rFonts w:hint="eastAsia" w:ascii="宋体" w:hAnsi="宋体" w:eastAsia="宋体" w:cs="宋体"/>
          <w:sz w:val="28"/>
          <w:szCs w:val="28"/>
        </w:rPr>
        <w:t>拍卖企业、竞买人、买受人、网络拍卖平台及利害关系人提出异议请求撤销海关涉案财物拍卖，符合下列情形之一的，海关应当支持：</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由于拍卖财产的文字说明、视频或者照片展示、实地展示以及瑕疵说明严重失实，致使买受人产生重大误解，购买目的无法实现的，但拍卖时的技术水平不能发现或者已经就相关瑕疵以及责任承担予以公示说明的除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（二）由于系统故障、病毒入侵、黑客攻击、数据错误等原因致使拍卖结果错误，严重损害海关、拍卖企业或者竞买人利益的；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（三）竞买人之间、竞买人与拍卖企业、竞买人与网络拍卖平台之间恶意串通，损害海关或者其他竞买人利益的；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（四）买受人不具备法律、行政法规和司法解释规定的竞买资格的；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（五）违法限制竞买人参加竞买或者对享有同等权利的竞买人规定不同竞买条件的；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（六）其他严重违反拍卖程序的情形。</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十</w:t>
      </w:r>
      <w:r>
        <w:rPr>
          <w:rFonts w:hint="eastAsia" w:ascii="宋体" w:hAnsi="宋体" w:eastAsia="宋体" w:cs="宋体"/>
          <w:sz w:val="28"/>
          <w:szCs w:val="28"/>
        </w:rPr>
        <w:t>九、海关、拍卖企业、竞买人、买受人及其他利害关系人认为拍卖企业、网络拍卖平台的行为违法，可以提出异议，异议期间，海关可以暂缓或中止拍卖。</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二十</w:t>
      </w:r>
      <w:r>
        <w:rPr>
          <w:rFonts w:hint="eastAsia" w:ascii="宋体" w:hAnsi="宋体" w:eastAsia="宋体" w:cs="宋体"/>
          <w:sz w:val="28"/>
          <w:szCs w:val="28"/>
        </w:rPr>
        <w:t>、实施海关涉案财物拍卖的，下列机构和人员不得参与竞买活动：</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（一）海关及其工作人员；</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（二）网络拍卖平台及其工作人员；</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（三）承担拍卖工作的拍卖企业及其工作人员；</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（四）第（一）至（三）项规定主体的工作人员近亲属。</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二十一、</w:t>
      </w:r>
      <w:r>
        <w:rPr>
          <w:rFonts w:hint="eastAsia" w:ascii="宋体" w:hAnsi="宋体" w:eastAsia="宋体" w:cs="宋体"/>
          <w:sz w:val="28"/>
          <w:szCs w:val="28"/>
        </w:rPr>
        <w:t>拍卖企业或网络拍卖平台有下列情形之一的，不得再为海关涉案财物拍卖提供服务：</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（一）存在违反本规定操控拍卖程序、修改拍卖信息等行为的；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（二）存在恶意串通、弄虚作假、泄漏保密信息等行为的；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（三）因违反法律、行政法规和司法解释等规定受到处罚，不适于继续从事海关涉案财物拍卖的；</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（四）其他应当排除委托的情形。</w:t>
      </w:r>
    </w:p>
    <w:p>
      <w:pPr>
        <w:autoSpaceDE w:val="0"/>
        <w:autoSpaceDN w:val="0"/>
        <w:adjustRightIn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w:t>
      </w:r>
      <w:r>
        <w:rPr>
          <w:rFonts w:hint="eastAsia" w:ascii="宋体" w:hAnsi="宋体" w:eastAsia="宋体" w:cs="宋体"/>
          <w:bCs/>
          <w:sz w:val="28"/>
          <w:szCs w:val="28"/>
        </w:rPr>
        <w:t>十</w:t>
      </w:r>
      <w:r>
        <w:rPr>
          <w:rFonts w:hint="eastAsia" w:ascii="宋体" w:hAnsi="宋体" w:eastAsia="宋体" w:cs="宋体"/>
          <w:sz w:val="28"/>
          <w:szCs w:val="28"/>
        </w:rPr>
        <w:t>二、因海关涉案财物拍卖产生的相关税费，应当依照相关法律、行政法规的规定，由相应主体承担。</w:t>
      </w:r>
    </w:p>
    <w:p>
      <w:pPr>
        <w:autoSpaceDE w:val="0"/>
        <w:autoSpaceDN w:val="0"/>
        <w:adjustRightIn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十三、本规定所称竞买人是指具备完全民事行为能力的参加竞购拍卖标的的公民、法人或者其他组织。法律、行政法规和司法解释对买受人资格或者条件有特殊规定的，竞买人应当具备规定的资格或者条件。买受人是指以最高应价购得拍卖标的的竞买人。</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网络拍卖是指通过网络，以公开竞价方式，将特定物品或者财产权利转让给最高应价者的买卖方式。</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网络拍卖平台是指在网络拍卖活动中，为交易各方提供相关服务的信息系统。</w:t>
      </w:r>
    </w:p>
    <w:p>
      <w:pPr>
        <w:pStyle w:val="17"/>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二十</w:t>
      </w:r>
      <w:r>
        <w:rPr>
          <w:rFonts w:hint="eastAsia" w:ascii="宋体" w:hAnsi="宋体" w:eastAsia="宋体" w:cs="宋体"/>
          <w:bCs/>
          <w:sz w:val="28"/>
          <w:szCs w:val="28"/>
        </w:rPr>
        <w:t>四</w:t>
      </w:r>
      <w:r>
        <w:rPr>
          <w:rFonts w:hint="eastAsia" w:ascii="宋体" w:hAnsi="宋体" w:eastAsia="宋体" w:cs="宋体"/>
          <w:sz w:val="28"/>
          <w:szCs w:val="28"/>
        </w:rPr>
        <w:t>、海关对超期未报关进口货物、误卸或溢卸进境货物、放弃进口货物和进出境物品、在海关规定期限内未办理海关手续或无人认领的物品、无法投递又无法退回的进境邮递物品，根据《中华人民共和国海关法》第六十条、第六十一条规定采取税收强制措施、税收保全措施涉及扣留的货物或其他财产等进行变卖的，参照本规定处理。</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bCs/>
          <w:sz w:val="28"/>
          <w:szCs w:val="28"/>
        </w:rPr>
        <w:t>二十五、</w:t>
      </w:r>
      <w:r>
        <w:rPr>
          <w:rFonts w:hint="eastAsia" w:ascii="宋体" w:hAnsi="宋体" w:eastAsia="宋体" w:cs="宋体"/>
          <w:sz w:val="28"/>
          <w:szCs w:val="28"/>
        </w:rPr>
        <w:t>本规定自2020年5月1日起施行。施行前海关总署公布的规范性文件与本规定不一致的，以本规定为准。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1441" w:firstLineChars="400"/>
        <w:jc w:val="both"/>
        <w:rPr>
          <w:rFonts w:ascii="Helvetica" w:hAnsi="Helvetica" w:eastAsia="Helvetica" w:cs="Helvetica"/>
          <w:b/>
          <w:bCs/>
          <w:i w:val="0"/>
          <w:iCs w:val="0"/>
          <w:caps w:val="0"/>
          <w:color w:val="333333"/>
          <w:spacing w:val="0"/>
          <w:sz w:val="36"/>
          <w:szCs w:val="36"/>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30" w:afterAutospacing="0" w:line="240" w:lineRule="auto"/>
        <w:ind w:left="0" w:right="0"/>
        <w:jc w:val="center"/>
        <w:rPr>
          <w:b/>
          <w:i w:val="0"/>
          <w:caps w:val="0"/>
          <w:color w:val="333333"/>
          <w:spacing w:val="0"/>
          <w:sz w:val="36"/>
          <w:szCs w:val="36"/>
          <w:shd w:val="clear" w:fill="FFFFFF"/>
        </w:rPr>
      </w:pPr>
      <w:r>
        <w:rPr>
          <w:b/>
          <w:i w:val="0"/>
          <w:caps w:val="0"/>
          <w:color w:val="333333"/>
          <w:spacing w:val="0"/>
          <w:sz w:val="36"/>
          <w:szCs w:val="36"/>
          <w:shd w:val="clear" w:fill="FFFFFF"/>
        </w:rPr>
        <w:t>财政部发布《关于加强行政事业单位固定资产管理的通知》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30" w:afterAutospacing="0" w:line="240" w:lineRule="auto"/>
        <w:ind w:left="0" w:right="0"/>
        <w:jc w:val="left"/>
        <w:rPr>
          <w:rFonts w:hint="eastAsia" w:ascii="宋体" w:hAnsi="宋体" w:eastAsia="宋体" w:cs="宋体"/>
          <w:b w:val="0"/>
          <w:i w:val="0"/>
          <w:caps w:val="0"/>
          <w:color w:val="333333"/>
          <w:spacing w:val="0"/>
          <w:kern w:val="0"/>
          <w:sz w:val="28"/>
          <w:szCs w:val="28"/>
          <w:shd w:val="clear" w:fill="FFFFFF"/>
          <w:lang w:val="en-US" w:eastAsia="zh-CN" w:bidi="ar"/>
        </w:rPr>
      </w:pPr>
      <w:r>
        <w:rPr>
          <w:rFonts w:hint="eastAsia" w:ascii="宋体" w:hAnsi="宋体" w:eastAsia="宋体" w:cs="宋体"/>
          <w:b/>
          <w:bCs/>
          <w:i w:val="0"/>
          <w:caps w:val="0"/>
          <w:color w:val="333333"/>
          <w:spacing w:val="0"/>
          <w:kern w:val="0"/>
          <w:sz w:val="28"/>
          <w:szCs w:val="28"/>
          <w:shd w:val="clear" w:fill="FFFFFF"/>
          <w:lang w:val="en-US" w:eastAsia="zh-CN" w:bidi="ar"/>
        </w:rPr>
        <w:t>财资〔2020〕97号</w:t>
      </w:r>
      <w:r>
        <w:rPr>
          <w:rFonts w:hint="eastAsia" w:ascii="宋体" w:hAnsi="宋体" w:eastAsia="宋体" w:cs="宋体"/>
          <w:b w:val="0"/>
          <w:i w:val="0"/>
          <w:caps w:val="0"/>
          <w:color w:val="333333"/>
          <w:spacing w:val="0"/>
          <w:kern w:val="0"/>
          <w:sz w:val="28"/>
          <w:szCs w:val="28"/>
          <w:shd w:val="clear" w:fill="FFFFFF"/>
          <w:lang w:val="en-US" w:eastAsia="zh-CN" w:bidi="ar"/>
        </w:rPr>
        <w:br w:type="textWrapping"/>
      </w:r>
      <w:r>
        <w:rPr>
          <w:rFonts w:hint="eastAsia" w:cs="宋体"/>
          <w:b w:val="0"/>
          <w:i w:val="0"/>
          <w:caps w:val="0"/>
          <w:color w:val="333333"/>
          <w:spacing w:val="0"/>
          <w:kern w:val="0"/>
          <w:sz w:val="28"/>
          <w:szCs w:val="28"/>
          <w:shd w:val="clear" w:fill="FFFFFF"/>
          <w:lang w:val="en-US" w:eastAsia="zh-CN" w:bidi="ar"/>
        </w:rPr>
        <w:t xml:space="preserve">   </w:t>
      </w:r>
      <w:r>
        <w:rPr>
          <w:rFonts w:hint="eastAsia" w:ascii="宋体" w:hAnsi="宋体" w:eastAsia="宋体" w:cs="宋体"/>
          <w:b w:val="0"/>
          <w:i w:val="0"/>
          <w:caps w:val="0"/>
          <w:color w:val="333333"/>
          <w:spacing w:val="0"/>
          <w:kern w:val="0"/>
          <w:sz w:val="28"/>
          <w:szCs w:val="28"/>
          <w:shd w:val="clear" w:fill="FFFFFF"/>
          <w:lang w:val="en-US" w:eastAsia="zh-CN" w:bidi="ar"/>
        </w:rPr>
        <w:t>党中央有关部门，国务院各部委、各直属机构，全国人大常委会办公厅，全国政协办公厅，最高人民法院，最高人民检察院，各民主党派中央，有关人民团体，各省、自治区、直辖市、计划单列市财政厅（局），新疆生产建设兵团财政局，有关中央管理企业：</w:t>
      </w:r>
      <w:r>
        <w:rPr>
          <w:rStyle w:val="9"/>
          <w:rFonts w:hint="eastAsia" w:ascii="宋体" w:hAnsi="宋体" w:eastAsia="宋体" w:cs="宋体"/>
          <w:b w:val="0"/>
          <w:bCs/>
          <w:i w:val="0"/>
          <w:caps w:val="0"/>
          <w:color w:val="333333"/>
          <w:spacing w:val="0"/>
          <w:kern w:val="0"/>
          <w:sz w:val="28"/>
          <w:szCs w:val="28"/>
          <w:shd w:val="clear" w:fill="FFFFFF"/>
          <w:lang w:val="en-US" w:eastAsia="zh-CN" w:bidi="ar"/>
        </w:rPr>
        <w:t>行政事业单位固定资产（以下简称固定资产）是行政事业单位为满足自身开展业务活动或其他活动需要而控制的，使用年限和单位价值在规定标准以上，并在使用过程中基本保持原有物质形态的资产，包括房屋及构筑物，专用设备，通用设备，文物和陈列品，图书、档案，家具、用具、装具及动植物等。</w:t>
      </w:r>
      <w:r>
        <w:rPr>
          <w:rFonts w:hint="eastAsia" w:ascii="宋体" w:hAnsi="宋体" w:eastAsia="宋体" w:cs="宋体"/>
          <w:b w:val="0"/>
          <w:i w:val="0"/>
          <w:caps w:val="0"/>
          <w:color w:val="333333"/>
          <w:spacing w:val="0"/>
          <w:kern w:val="0"/>
          <w:sz w:val="28"/>
          <w:szCs w:val="28"/>
          <w:shd w:val="clear" w:fill="FFFFFF"/>
          <w:lang w:val="en-US" w:eastAsia="zh-CN" w:bidi="ar"/>
        </w:rPr>
        <w:t>做好固定资产管理工作，对于提升行政事业单位国有资产管理整体水平、更好地服务与保障单位履职和事业发展，具有重要意义。为贯彻落实党中央、国务院关于“过紧日子”的要求，有效盘活并高效使用固定资产，有针对性地解决固定资产管理中存在的突出问题，现就加强固定资产管理有关事项通知如下：一、落实管理责任，健全管理制度（一）明晰责任。各级财政部门要强化和落实综合管理职责，加强固定资产管理顶层设计，明确固定资产管理要求。各部门要切实履行固定资产监督管理职责，建立健全固定资产管理机制，组织落实固定资产管理各项工作。各单位对固定资产管理承担主体责任，并将责任落实到人。固定资产使用人员要切实负起责任，爱护和使用好固定资产，确保固定资产安全完整，高效利用。（二）健全制度。各部门应根据工作需要和实际情况，建立健全固定资产管理实施办法或分类制定固定资产管理规定，进一步细化管理要求。各单位应认真对照管理要求，针对固定资产验收登记、核算入账、领用移交、维修保管、清查盘点、出租出借、对外投资、回收处置、绩效管理等重点环节，查漏补缺，明确操作规程，确保流程清晰、管理规范、责任可查。（三）加强内控。各部门、各单位应当根据《行政事业单位内部控制规范（试行）》等规定，强化固定资产配置、使用、处置等关键环节的管控。加强固定资产管理部门与政府采购、财务、人事等部门的沟通协作，形成管理合力。二、加强基础管理，确保家底清晰　　（四）核算入账。各单位要严格落实政府会计准则制度等要求，按规定设置固定资产账簿，对固定资产增减变动及时进行会计处理，并定期与固定资产卡片进行核对，确保账卡相符。对已投入使用但尚未办理竣工决算的在建工程，应当按规定及时转入固定资产。（五）登记管理。加强固定资产卡片管理，做到有物必登、登记到人、一物一卡、不重不漏。对于权证手续不全、但长期占有使用并实际控制的固定资产，应当建立并登记固定资产卡片；对于租入固定资产，应当单独登记备查，并做好维护和管理。固定资产卡片应当符合规定格式，载明固定资产基本信息、财务信息以及使用信息，并随资产全生命周期管理动态更新，在行政事业单位国有资产年度报告中如实反映。　　（六）清查盘点。定期对固定资产进行清查盘点，每年至少盘点一次，全面掌握并真实反映固定资产的数量、价值和使用状况，确保账账相符、账实相符。盘盈固定资产，应当按照政府会计准则制度等规定合理确定资产价值，按权限报批后登记入账。出现固定资产盘亏，应当查明原因、及时规范处理。（七）权属管理。切实做好固定资产产权管理，及时办理土地、房屋、车辆等固定资产权属证书，资产变动应办理权证变更登记，避免权属不清。涉及产权纠纷或不清晰的固定资产，应按照产权管理规定，厘清产权关系。三、规范管理行为，提升管理效能（八）从严配置。各部门、各单位要真正落实“过紧日子”要求，在摸清固定资产存量基础上，合理提出配置需求，审核部门要严格把关，从严控制。固定资产配置能通过调剂、收回出租出借等方式解决的，原则上不得重新购置、建设、租用。购置、建设、租用固定资产的，应当严格执行政府采购等法律法规，并做好政府采购等履约验收与固定资产入账的衔接。严格按规定标准配置固定资产，没有配置标准的，结合本单位履职需要和事业发展需求，厉行节约，合理配备。固定资产原则上不得一边出租出借、一边新增配置。（九）规范使用。要加强固定资产使用管理，行政单位固定资产主要保障机关正常运转，事业单位固定资产主要支撑事业发展，行政单位和事业单位原则上不得互相占用固定资产，确保固定资产功能与单位职能相匹配。固定资产出租出借、对外投资要严格履行管理程序。落实固定资产内部领用和离岗归还制度，领用人要合理使用、妥善保管，出现损坏及时报修，避免闲置浪费或是公物私用。发生岗位变动应当按规定及时办理资产移交，移交或归还后方可办理相关手续。（十）调剂共享。积极推进固定资产在单位内部调剂共享，鼓励跨部门、跨地区、跨级次的资产调剂和共享共用，提升固定资产使用效益。高校、科研等事业单位要将符合条件的科研设施与科研仪器纳入重大科研基础设施和大型科研仪器国家网络管理平台，将仪器开放共享情况作为新增资产配置的重要参考因素，推动开放共享和高效利用。（十一）规范处置。明确固定资产内部处置程序，严格按规定权限履行报批程序，及时处置固定资产。对长期积压的待处置资产，按“三重一大”事项履行集体决策程序，在规定权限内予以处置，切实解决“销账难”的问题。固定资产处置要做到公开、公正、公平。</w:t>
      </w:r>
      <w:r>
        <w:rPr>
          <w:rStyle w:val="9"/>
          <w:rFonts w:hint="eastAsia" w:ascii="宋体" w:hAnsi="宋体" w:eastAsia="宋体" w:cs="宋体"/>
          <w:b w:val="0"/>
          <w:bCs/>
          <w:i w:val="0"/>
          <w:caps w:val="0"/>
          <w:color w:val="auto"/>
          <w:spacing w:val="0"/>
          <w:kern w:val="0"/>
          <w:sz w:val="28"/>
          <w:szCs w:val="28"/>
          <w:shd w:val="clear" w:fill="FFFFFF"/>
          <w:lang w:val="en-US" w:eastAsia="zh-CN" w:bidi="ar"/>
        </w:rPr>
        <w:t>出售、出让、转让固定资产应依法依规进行资产评估，数量较多或者价值较高的，通过进场交易、拍卖等公开方式处置。确实不具备使用价值的处置资产，鼓励通过网络拍卖等方式公开处置。</w:t>
      </w:r>
      <w:r>
        <w:rPr>
          <w:rFonts w:hint="eastAsia" w:ascii="宋体" w:hAnsi="宋体" w:eastAsia="宋体" w:cs="宋体"/>
          <w:b w:val="0"/>
          <w:i w:val="0"/>
          <w:caps w:val="0"/>
          <w:color w:val="333333"/>
          <w:spacing w:val="0"/>
          <w:kern w:val="0"/>
          <w:sz w:val="28"/>
          <w:szCs w:val="28"/>
          <w:shd w:val="clear" w:fill="FFFFFF"/>
          <w:lang w:val="en-US" w:eastAsia="zh-CN" w:bidi="ar"/>
        </w:rPr>
        <w:t>处置收入扣除相关税金、评估费、拍卖佣金等费用后，按照政府非税收入收缴管理有关规定及时缴入国库，实行“收支两条线”管理。四、完善追责机制，加强监督检查（十二）损失追责。各部门、各单位应当建立健全固定资产损失追责机制，落实损失赔偿责任。对因使用、保管不善等造成的固定资产丢失、损毁等情形，按照规定进行责任认定，由责任人承担相应责任。（十三）绩效管理。各级财政部门、各部门应当建立固定资产全过程绩效管理机制，对固定资产管理机构人员设置，账实相符情况，配置效率、使用效果、处置以及收入管理、信息系统建设和应用等情况设置具体绩效指标，实施跟踪问效。（十四）监督检查。各级财政部门会同主管部门加强固定资产管理的监督检查，在强化日常监管基础上，针对单位固定资产管理制度是否完善、基础工作是否扎实、使用是否高效等开展监督检查，增强监督实效。对固定资产管理不到位的行政事业单位进行通报；对隐瞒不报、故意损毁、违规违纪违法操作，造成国有资产重大流失的，依法追究相关责任。各部门、各单位要高度重视并切实加强固定资产管理，根据本通知精神，落实管理责任，细化管理要求，规范管理行为，加强信息技术支撑，确保固定资产安全完整、运转高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30" w:afterAutospacing="0" w:line="240" w:lineRule="auto"/>
        <w:ind w:left="0" w:right="0"/>
        <w:jc w:val="right"/>
        <w:rPr>
          <w:sz w:val="28"/>
          <w:szCs w:val="28"/>
        </w:rPr>
      </w:pPr>
      <w:r>
        <w:rPr>
          <w:rFonts w:hint="eastAsia" w:ascii="宋体" w:hAnsi="宋体" w:eastAsia="宋体" w:cs="宋体"/>
          <w:b w:val="0"/>
          <w:i w:val="0"/>
          <w:caps w:val="0"/>
          <w:color w:val="333333"/>
          <w:spacing w:val="0"/>
          <w:kern w:val="0"/>
          <w:sz w:val="28"/>
          <w:szCs w:val="28"/>
          <w:shd w:val="clear" w:fill="FFFFFF"/>
          <w:lang w:val="en-US" w:eastAsia="zh-CN" w:bidi="ar"/>
        </w:rPr>
        <w:br w:type="textWrapping"/>
      </w:r>
      <w:r>
        <w:rPr>
          <w:rFonts w:hint="eastAsia" w:ascii="宋体" w:hAnsi="宋体" w:eastAsia="宋体" w:cs="宋体"/>
          <w:b w:val="0"/>
          <w:i w:val="0"/>
          <w:caps w:val="0"/>
          <w:color w:val="333333"/>
          <w:spacing w:val="0"/>
          <w:kern w:val="0"/>
          <w:sz w:val="28"/>
          <w:szCs w:val="28"/>
          <w:shd w:val="clear" w:fill="FFFFFF"/>
          <w:lang w:val="en-US" w:eastAsia="zh-CN" w:bidi="ar"/>
        </w:rPr>
        <w:t xml:space="preserve">财政部　　2020年8月26日 </w:t>
      </w:r>
    </w:p>
    <w:p>
      <w:pPr>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i w:val="0"/>
          <w:iCs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宋体" w:hAnsi="宋体" w:eastAsia="宋体" w:cs="宋体"/>
          <w:b/>
          <w:bCs/>
          <w:i w:val="0"/>
          <w:iCs w:val="0"/>
          <w:caps w:val="0"/>
          <w:color w:val="auto"/>
          <w:spacing w:val="0"/>
          <w:sz w:val="36"/>
          <w:szCs w:val="36"/>
          <w:u w:val="none"/>
        </w:rPr>
      </w:pPr>
      <w:r>
        <w:rPr>
          <w:rFonts w:hint="eastAsia" w:ascii="宋体" w:hAnsi="宋体" w:eastAsia="宋体" w:cs="宋体"/>
          <w:b/>
          <w:bCs/>
          <w:i w:val="0"/>
          <w:iCs w:val="0"/>
          <w:caps w:val="0"/>
          <w:color w:val="auto"/>
          <w:spacing w:val="0"/>
          <w:sz w:val="36"/>
          <w:szCs w:val="36"/>
          <w:u w:val="none"/>
        </w:rPr>
        <w:t>2021年全国拍卖行业协会工作会在南昌召开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宋体" w:hAnsi="宋体" w:eastAsia="宋体" w:cs="宋体"/>
          <w:b/>
          <w:bCs/>
          <w:i w:val="0"/>
          <w:iCs w:val="0"/>
          <w:caps w:val="0"/>
          <w:color w:val="auto"/>
          <w:spacing w:val="0"/>
          <w:sz w:val="36"/>
          <w:szCs w:val="36"/>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w:t>
      </w:r>
      <w:r>
        <w:rPr>
          <w:rFonts w:hint="eastAsia" w:ascii="宋体" w:hAnsi="宋体" w:eastAsia="宋体" w:cs="宋体"/>
          <w:i w:val="0"/>
          <w:iCs w:val="0"/>
          <w:caps w:val="0"/>
          <w:color w:val="auto"/>
          <w:spacing w:val="0"/>
          <w:sz w:val="28"/>
          <w:szCs w:val="28"/>
          <w:u w:val="none"/>
          <w:lang w:val="en-US" w:eastAsia="zh-CN"/>
        </w:rPr>
        <w:t xml:space="preserve">  </w:t>
      </w:r>
      <w:r>
        <w:rPr>
          <w:rFonts w:hint="eastAsia" w:ascii="宋体" w:hAnsi="宋体" w:eastAsia="宋体" w:cs="宋体"/>
          <w:i w:val="0"/>
          <w:iCs w:val="0"/>
          <w:caps w:val="0"/>
          <w:color w:val="auto"/>
          <w:spacing w:val="0"/>
          <w:sz w:val="28"/>
          <w:szCs w:val="28"/>
          <w:u w:val="none"/>
        </w:rPr>
        <w:t>3月18日，2021年全国拍卖行业协会工作会在南昌召开。全国各省（区、市）协会负责人汇聚南昌，共同探讨行业和协会工作。江西省商务厅流通业发展处处长罗陆生、副处长黄乃忠，中拍协会长黄小坚，副会长王中明、李伟、法勇生、陈志坤、韩涛、李卫东、蒋迎春、冯明强、罗诗明、王俪潼、陈雷，特邀副会长雷敏、苗华甫出席会议。江西省商务厅罗陆生处长致欢迎辞，中拍协副会长李卫东主持会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研究部署年度行业重点工作</w:t>
      </w:r>
      <w:r>
        <w:rPr>
          <w:rFonts w:hint="eastAsia" w:ascii="宋体" w:hAnsi="宋体" w:eastAsia="宋体" w:cs="宋体"/>
          <w:i w:val="0"/>
          <w:iCs w:val="0"/>
          <w:caps w:val="0"/>
          <w:color w:val="auto"/>
          <w:spacing w:val="0"/>
          <w:sz w:val="28"/>
          <w:szCs w:val="28"/>
          <w:u w:val="none"/>
        </w:rPr>
        <w:br w:type="textWrapping"/>
      </w:r>
      <w:r>
        <w:rPr>
          <w:rFonts w:hint="eastAsia" w:ascii="宋体" w:hAnsi="宋体" w:eastAsia="宋体" w:cs="宋体"/>
          <w:i w:val="0"/>
          <w:iCs w:val="0"/>
          <w:caps w:val="0"/>
          <w:color w:val="auto"/>
          <w:spacing w:val="0"/>
          <w:sz w:val="28"/>
          <w:szCs w:val="28"/>
          <w:u w:val="none"/>
        </w:rPr>
        <w:t>   会议首先由中拍协副秘书长欧树英介绍2021年中拍协工作计划。此次工作计划以促进拍卖行业高质量发展为中心任务，对照中拍协第六次会员代表大会确定的行业发展目标，在工作安排中全面落实创新、协调、绿色、开放、共享的新发展理念，结合往年度工作的经验，综合平衡考虑行业现实要求和长远需要、重要工作和日常工作、传统项目和创新工作，共制定八大项113小项工作计划。对本年度九项重点工作以及两项重大活动形成以会长、副会长为牵头人、分项负责人，秘书处同志作为联系人的工作组的工作机制。</w:t>
      </w:r>
      <w:r>
        <w:rPr>
          <w:rFonts w:hint="eastAsia" w:ascii="宋体" w:hAnsi="宋体" w:eastAsia="宋体" w:cs="宋体"/>
          <w:i w:val="0"/>
          <w:iCs w:val="0"/>
          <w:caps w:val="0"/>
          <w:color w:val="auto"/>
          <w:spacing w:val="0"/>
          <w:sz w:val="28"/>
          <w:szCs w:val="28"/>
          <w:u w:val="none"/>
        </w:rPr>
        <w:br w:type="textWrapping"/>
      </w:r>
      <w:r>
        <w:rPr>
          <w:rFonts w:hint="eastAsia" w:ascii="宋体" w:hAnsi="宋体" w:eastAsia="宋体" w:cs="宋体"/>
          <w:i w:val="0"/>
          <w:iCs w:val="0"/>
          <w:caps w:val="0"/>
          <w:color w:val="auto"/>
          <w:spacing w:val="0"/>
          <w:sz w:val="28"/>
          <w:szCs w:val="28"/>
          <w:u w:val="none"/>
        </w:rPr>
        <w:t>随后各重点工作组牵头人对“常态化疫情防控工作”、“2021年中国拍卖行业年度发展战略及形势分析会和编制行业发展规划”、“财政部《罚没财物处置管理办法》、《关于加强行政事业单位固定资产管理的通知》、《海关涉案财物拍卖若干问题的规定》等政策落地工作”、“行业党建工作”、“行业升级发展”、“信息化建设”、“公共资源领域业务开拓”、“特殊资产运营服务工作”、“文物艺术品拍卖政策”九项重点工作，以及拍卖师大赛和行业年会两项重大活动的工作进展情况、目前存在的问题以及工作思路向大家作了介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交流经验  启发思路</w:t>
      </w:r>
      <w:r>
        <w:rPr>
          <w:rFonts w:hint="eastAsia" w:ascii="宋体" w:hAnsi="宋体" w:eastAsia="宋体" w:cs="宋体"/>
          <w:i w:val="0"/>
          <w:iCs w:val="0"/>
          <w:caps w:val="0"/>
          <w:color w:val="auto"/>
          <w:spacing w:val="0"/>
          <w:sz w:val="28"/>
          <w:szCs w:val="28"/>
          <w:u w:val="none"/>
        </w:rPr>
        <w:br w:type="textWrapping"/>
      </w:r>
      <w:r>
        <w:rPr>
          <w:rFonts w:hint="eastAsia" w:ascii="宋体" w:hAnsi="宋体" w:eastAsia="宋体" w:cs="宋体"/>
          <w:i w:val="0"/>
          <w:iCs w:val="0"/>
          <w:caps w:val="0"/>
          <w:color w:val="auto"/>
          <w:spacing w:val="0"/>
          <w:sz w:val="28"/>
          <w:szCs w:val="28"/>
          <w:u w:val="none"/>
        </w:rPr>
        <w:t>  下午，各地方拍协就所在省市行业现状、去年工作亮点、工作中存在的问题、2021年的工作思路等方面进行交流分享。会上，二十六个省市协会的会长、秘书长陆续发言。大家围绕疫情防控、司法拍卖、行业自律、政策协调、业务拓展、人才队伍建设、党建工作等进行深入探讨。这些各地的新经验、新做法相互激荡，极大启发了今年行业协会的工作思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会议总结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会议最后黄小坚会长做总结讲话。他指出，今天的会议是在特殊时间召开的一次特殊的会议，是站在十三五全面建成小康社会，面向十四五开启全面建设社会主义现代化国家新征程背景下召开的一次会议，旨在明确方向、落实任务、统筹保障，凝聚共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黄小坚会长随后简要回顾了去年的几项重点、亮点工作，一是抓防疫抗疫取得可喜成绩；二是抓复工复产六稳六保取得较好成效；三是抓政策协调收获四项利好新政；四是协会换届工作顺利完成。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黄小坚会长要求，第一，中拍协和各省协会制定协会工作计划，应坚持六大原则，围绕四项主要任务。要坚持党建引领、坚持创新驱动、坚持协调发展、坚持开放合作、坚持社会共享、坚持以人为本，围绕加强市场拓展、改善营商环境、加强自身建设、加快数字化进程，明确工作任务，以咬定青山不放松的精神，坚持不懈抓好行业重点、难点、痛点问题解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第二，中拍协和各省协会要认真落实今年工作计划，推进各项工作完成。一是要毫不懈怠，继续做好常态化疫情防控工作；二是要分工合作，抓好重点利好政策落地，做好配套政策的争取；三是要集中力量争取公共资源等重点业务领域有所突破；四是要支持创新、扩大拍卖交易机制在新资源领域的应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r>
        <w:rPr>
          <w:rFonts w:hint="eastAsia" w:ascii="宋体" w:hAnsi="宋体" w:eastAsia="宋体" w:cs="宋体"/>
          <w:i w:val="0"/>
          <w:iCs w:val="0"/>
          <w:caps w:val="0"/>
          <w:color w:val="auto"/>
          <w:spacing w:val="0"/>
          <w:sz w:val="28"/>
          <w:szCs w:val="28"/>
          <w:u w:val="none"/>
        </w:rPr>
        <w:t>  第三，中拍协和各省协会要完善工作组织保障，建设团结高效的行业组织体系。一是要统一思想、统一认识、共同推进今年各项工作任务。二是中拍协要继续做好为地方协会的服务，帮助地方协会解决实际问题。三是加强党建工作，中拍协要带头建立风清气正、专业高效的协会服务作风。各级协会要坚持政治引领，旗帜鲜明地讲政治，把习近平新时代中国特色社会主义思想与协会工作结合起来，通过党建不断强化“四个意识”，坚定“四个自信”，切实做到“两个维护”，团结广大拍卖企业确保今年制定的各项工作任务顺利完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宋体" w:hAnsi="宋体" w:eastAsia="宋体" w:cs="宋体"/>
          <w:b/>
          <w:bCs/>
          <w:i w:val="0"/>
          <w:iCs w:val="0"/>
          <w:caps w:val="0"/>
          <w:color w:val="auto"/>
          <w:spacing w:val="0"/>
          <w:sz w:val="36"/>
          <w:szCs w:val="36"/>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宋体" w:hAnsi="宋体" w:eastAsia="宋体" w:cs="宋体"/>
          <w:b/>
          <w:bCs/>
          <w:i w:val="0"/>
          <w:iCs w:val="0"/>
          <w:caps w:val="0"/>
          <w:color w:val="auto"/>
          <w:spacing w:val="0"/>
          <w:sz w:val="36"/>
          <w:szCs w:val="36"/>
          <w:u w:val="none"/>
        </w:rPr>
      </w:pPr>
      <w:r>
        <w:rPr>
          <w:rFonts w:hint="eastAsia" w:ascii="宋体" w:hAnsi="宋体" w:eastAsia="宋体" w:cs="宋体"/>
          <w:b/>
          <w:bCs/>
          <w:i w:val="0"/>
          <w:iCs w:val="0"/>
          <w:caps w:val="0"/>
          <w:color w:val="auto"/>
          <w:spacing w:val="0"/>
          <w:sz w:val="36"/>
          <w:szCs w:val="36"/>
          <w:u w:val="none"/>
        </w:rPr>
        <w:t>2021年各省市拍卖行业协会会长、秘书长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宋体" w:hAnsi="宋体" w:eastAsia="宋体" w:cs="宋体"/>
          <w:b/>
          <w:bCs/>
          <w:i w:val="0"/>
          <w:iCs w:val="0"/>
          <w:caps w:val="0"/>
          <w:color w:val="auto"/>
          <w:spacing w:val="0"/>
          <w:sz w:val="36"/>
          <w:szCs w:val="36"/>
          <w:u w:val="none"/>
        </w:rPr>
      </w:pPr>
      <w:r>
        <w:rPr>
          <w:rFonts w:hint="eastAsia" w:ascii="宋体" w:hAnsi="宋体" w:eastAsia="宋体" w:cs="宋体"/>
          <w:b/>
          <w:bCs/>
          <w:i w:val="0"/>
          <w:iCs w:val="0"/>
          <w:caps w:val="0"/>
          <w:color w:val="auto"/>
          <w:spacing w:val="0"/>
          <w:sz w:val="36"/>
          <w:szCs w:val="36"/>
          <w:u w:val="none"/>
        </w:rPr>
        <w:t>工作会线上召开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i w:val="0"/>
          <w:iCs w:val="0"/>
          <w:caps w:val="0"/>
          <w:color w:val="auto"/>
          <w:spacing w:val="0"/>
          <w:sz w:val="28"/>
          <w:szCs w:val="28"/>
          <w:u w:val="none"/>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各省市拍卖行业协会会长、秘书长工作会于1月14日在线上召开，中拍协会长黄小坚、副会长王中明、陈志坤、刘耀华、祁志峰、李卫东、王俪潼、陈雷，各省市协会会长、秘书长及中拍协秘书处各部门主任等70余人参加会议，会议主要围绕党的十九届五中全会、中央经济工作会议精神学习，财政、司法等领域新文件、新政策落地工作，今冬明春行业疫情防控工作要求三个议题进行讨论，中拍协副会长李卫东主持会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  会上，由各省市协会的7位会长分别就不同议题进行主题发言。中拍协副会长、四川省拍协会长陈志坤在发言中强调，在下一步工作中要加强对拍卖理论、反垄断、碳排放权、房屋租赁权拍卖方面的研究。中拍协副会长、江苏省拍协会长陈雷主要谈了江苏省在罚没财物处置的实际操作中所遇到的问题，并就财政部《罚没财物管理办法》其中的新规定提醒行业同仁注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  湖北省拍协会长石品才主要介绍了湖北2020年在抓好疫情防控的同时协会和省市企业在复工复产中所做的工作和成绩。他认为中央的两次会议强调以人民为中心，落实到拍卖行业就是要以企业为中心，面对疫情行业要冷静，要提振信心。福建省拍协会长陈雨农就《罚没财物管理办法》和《民事执行中拍卖、变卖财产的规定》中委托拍卖的条款，建议行业内两会代表通过提案议案积极反映诉求，推动落地执行。上海市拍协会长刘建民介绍了上海市对十九届五中全会有关产权制度改革精神做出迅速反应，废除原上海产权管理办法，解决国有资产进场交易困扰的情况。天津市拍协会长马驰在发言中主要介绍了天津市拍协积极与当地政法委进行沟通，为拍卖企业争取涉黑、非法集资等资产处置有关业务，以及与公共资源交易中心合作，努力争取拍卖业务等情况。河北省拍协会长蒋旭主要介绍了去年年末石家庄突发新冠疫情以来协会和企业面临的问题和防疫抗疫工作开展情况，并对全国同仁向河北拍卖行业的关心和慰问表示感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  自由发言环节中，中拍协会长、吉林省拍协会长王俪潼对网络司法拍卖中的垄断问题发表看法，并对利用两会提案推动问题解决提出了具体建议。广东省拍协副会长温国健就《罚没财物管理办法》中的变卖问题、中拍平台推广问题、不动产、机动车协助过户问题等提出看法。北京拍协副会长兼秘书长姚光锋建议中拍协尽快就《罚没财物管理办法》出台全国性程序性规定，对于平台、名单库建设、具体业务开展程序等提供指导，以便于各地尽快运用。广西拍协秘书长先淑群就广西区开展司法拍卖辅助业务的经验和成效做了介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rPr>
          <w:rFonts w:hint="eastAsia" w:ascii="宋体" w:hAnsi="宋体" w:eastAsia="宋体" w:cs="宋体"/>
          <w:i w:val="0"/>
          <w:iCs w:val="0"/>
          <w:caps w:val="0"/>
          <w:color w:val="333333"/>
          <w:spacing w:val="0"/>
          <w:sz w:val="28"/>
          <w:szCs w:val="28"/>
          <w:u w:val="none"/>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  会议最后，中拍协会长黄小坚就三项会议议题分别做了工作部署。</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  关于学习十九届五中全会和中央经济工作会议精神，他指出，两个会议是党在“两个一百年”奋斗目标历史交汇点上召开的一次关键会议，意义重大，影响深远。他要求拍卖行业要在认真学习贯彻十九届五中全会和中央经济工作会议精神基础上，第一，深刻把握历史大势和发展规律，推动拍卖行业高质量发展，在国有资源的配置、行政事业单位资产处置、土地拍卖、公共资源交易、碳排放拍卖、电改拍卖等方面发挥更大的作用。第二，顺势而为，坚持创新驱动，实现行业整体转型升级，拓展市场空间。第三，以“强化反垄断”为契机，力争营商环境优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具体新政落实方面，他要求，第一，要做好财政部、海关总署相关政策的地方落地工作。各省市协会要按要求开展本地区财政罚没财物处置情况、行政事业单位固定资产处置情况、海关罚没财物拍卖情况的摸底调查；做好三项政策落地、业务落地和工作体系搭建的工作。第二，要“关注、重视、争取”司法拍卖政策，各地要抓住最高人民法院《民事执行中拍卖、变卖财产的规定》修改，加强和各地人民法院沟通协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  会议还就今冬明春的行业疫情防控工作做了部署。黄小坚会长要求，第一，全行业要严格落实疫情防控主体责任，强化责任担当。行业协会要指导企业压实主体责任，做好自身防疫工作。第二，要做好今冬明春，特别是春节期间的疫情防控工作。减少人员聚集活动，减少线下拍卖活动；减少春节期间人员流动；做好预展和线下拍卖会场所的防控措施。第三，要指导企业在经营中充分估计不确定因素，做好防疫物资储备和新年工作规划。</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rPr>
          <w:rFonts w:hint="eastAsia" w:ascii="宋体" w:hAnsi="宋体" w:eastAsia="宋体" w:cs="宋体"/>
          <w:i w:val="0"/>
          <w:iCs w:val="0"/>
          <w:caps w:val="0"/>
          <w:color w:val="333333"/>
          <w:spacing w:val="0"/>
          <w:sz w:val="28"/>
          <w:szCs w:val="28"/>
          <w:u w:val="none"/>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sz w:val="28"/>
          <w:szCs w:val="28"/>
          <w:u w:val="none"/>
        </w:rPr>
        <w:t>--来源：中拍协理论宣传部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both"/>
        <w:rPr>
          <w:rStyle w:val="9"/>
          <w:rFonts w:hint="eastAsia" w:ascii="宋体" w:hAnsi="宋体" w:eastAsia="宋体" w:cs="宋体"/>
          <w:i w:val="0"/>
          <w:iCs w:val="0"/>
          <w:caps w:val="0"/>
          <w:color w:val="333333"/>
          <w:spacing w:val="0"/>
          <w:sz w:val="36"/>
          <w:szCs w:val="36"/>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center"/>
        <w:rPr>
          <w:rStyle w:val="9"/>
          <w:rFonts w:hint="eastAsia" w:ascii="宋体" w:hAnsi="宋体" w:eastAsia="宋体" w:cs="宋体"/>
          <w:i w:val="0"/>
          <w:iCs w:val="0"/>
          <w:caps w:val="0"/>
          <w:color w:val="333333"/>
          <w:spacing w:val="0"/>
          <w:sz w:val="36"/>
          <w:szCs w:val="36"/>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center"/>
        <w:rPr>
          <w:rStyle w:val="9"/>
          <w:rFonts w:hint="eastAsia" w:ascii="宋体" w:hAnsi="宋体" w:eastAsia="宋体" w:cs="宋体"/>
          <w:i w:val="0"/>
          <w:iCs w:val="0"/>
          <w:caps w:val="0"/>
          <w:color w:val="333333"/>
          <w:spacing w:val="0"/>
          <w:sz w:val="36"/>
          <w:szCs w:val="36"/>
          <w:shd w:val="clear" w:fill="FFFFFF"/>
        </w:rPr>
      </w:pPr>
      <w:r>
        <w:rPr>
          <w:rStyle w:val="9"/>
          <w:rFonts w:hint="eastAsia" w:ascii="宋体" w:hAnsi="宋体" w:eastAsia="宋体" w:cs="宋体"/>
          <w:i w:val="0"/>
          <w:iCs w:val="0"/>
          <w:caps w:val="0"/>
          <w:color w:val="333333"/>
          <w:spacing w:val="0"/>
          <w:sz w:val="36"/>
          <w:szCs w:val="36"/>
          <w:shd w:val="clear" w:fill="FFFFFF"/>
        </w:rPr>
        <w:t>内蒙古拍卖行业协会年会暨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center"/>
        <w:rPr>
          <w:rFonts w:hint="eastAsia" w:ascii="Microsoft YaHei UI" w:hAnsi="Microsoft YaHei UI" w:eastAsia="Microsoft YaHei UI" w:cs="Microsoft YaHei UI"/>
          <w:i w:val="0"/>
          <w:iCs w:val="0"/>
          <w:caps w:val="0"/>
          <w:color w:val="333333"/>
          <w:spacing w:val="0"/>
          <w:sz w:val="36"/>
          <w:szCs w:val="36"/>
        </w:rPr>
      </w:pPr>
      <w:r>
        <w:rPr>
          <w:rStyle w:val="9"/>
          <w:rFonts w:hint="eastAsia" w:ascii="宋体" w:hAnsi="宋体" w:eastAsia="宋体" w:cs="宋体"/>
          <w:i w:val="0"/>
          <w:iCs w:val="0"/>
          <w:caps w:val="0"/>
          <w:color w:val="333333"/>
          <w:spacing w:val="0"/>
          <w:sz w:val="36"/>
          <w:szCs w:val="36"/>
          <w:shd w:val="clear" w:fill="FFFFFF"/>
        </w:rPr>
        <w:t>线上直播慈善拍卖会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一年一度的内蒙古拍卖行业协会慈善拍卖会如约而至。在这样一个特殊时期，国外疫情失控，国内疫情</w:t>
      </w:r>
      <w:r>
        <w:rPr>
          <w:rFonts w:hint="eastAsia" w:ascii="宋体" w:hAnsi="宋体" w:eastAsia="宋体" w:cs="宋体"/>
          <w:i w:val="0"/>
          <w:iCs w:val="0"/>
          <w:caps w:val="0"/>
          <w:color w:val="333333"/>
          <w:spacing w:val="15"/>
          <w:sz w:val="28"/>
          <w:szCs w:val="28"/>
          <w:shd w:val="clear" w:fill="FFFFFF"/>
        </w:rPr>
        <w:t>多地零星散发的情况下，我们依然坚守拍卖阵地，采取了线上直播的形式、通过洪力嗨拍小程序面向全国各地的公众，向社会传递更多的爱心力量。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30"/>
        <w:jc w:val="left"/>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15"/>
          <w:sz w:val="28"/>
          <w:szCs w:val="28"/>
          <w:shd w:val="clear" w:fill="FFFFFF"/>
        </w:rPr>
        <w:t>此次线上慈善拍卖会由内蒙古拍卖行业协会秘书长、国家注册拍卖师培训教官、国家注册拍卖师娜晴女士和国家注册拍卖师宋冠楠全程主播，所筹善款全部捐赠给中国光华科技基金会--书海工程项目为贫困地区儿童捐赠图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直播现场非常热烈，内拍协在第一次尝试线上慈善拍卖的情况下，直播间人数达到500多人，大家在线上直播间互动交流，都想为这些需要图书的孩子们奉献自己的一份力量。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拍品有价，爱心无价，在此特别鸣谢为本次慈善拍卖捐赠拍品的各位爱心企业和个人。（公司排名不分先后）</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洪力网科技有限公司董事长毕研挺先生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内蒙古京平商贸有限责任公司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内蒙古中宣拍卖有限责任公司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内蒙古及时雨拍卖有限公司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内蒙古凯德拍卖有限责任公司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内蒙古嘉保拍卖有限责任公司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鄂尔多斯市联兴拍卖有限责任公司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内蒙古三合拍卖有限责任公司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满洲里公物拍卖有限责任公司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满洲里福汇拍卖有限责任公司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内蒙古嘉恒拍卖有限责任公司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Microsoft YaHei UI" w:hAnsi="Microsoft YaHei UI" w:eastAsia="Microsoft YaHei UI" w:cs="Microsoft YaHei UI"/>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直播时间虽然只有短短两小时，可我们的爱心之举没有大小。虽然是第一次尝试直播慈善拍卖，直播过程也有瑕疵，但是不妨碍我们慈善的脚步。我们还会一如既往的尝试优秀的拍卖方式，多样化的形式去展现慈善拍卖的力量。由于慈善拍卖会后续工作还未结束，统计工作还在继续，在完全结束之后，会向各位捐赠单位公布结果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希望通过我们的善举，这些需要帮助的孩子们都能够快乐成长，无忧无虑，在知识的海洋里畅游。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宋体" w:hAnsi="宋体" w:eastAsia="宋体" w:cs="宋体"/>
          <w:b/>
          <w:bCs/>
          <w:i w:val="0"/>
          <w:iCs w:val="0"/>
          <w:caps w:val="0"/>
          <w:color w:val="333333"/>
          <w:spacing w:val="0"/>
          <w:sz w:val="44"/>
          <w:szCs w:val="44"/>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宋体" w:hAnsi="宋体" w:eastAsia="宋体" w:cs="宋体"/>
          <w:b/>
          <w:bCs/>
          <w:i w:val="0"/>
          <w:iCs w:val="0"/>
          <w:caps w:val="0"/>
          <w:color w:val="333333"/>
          <w:spacing w:val="0"/>
          <w:sz w:val="36"/>
          <w:szCs w:val="36"/>
          <w:shd w:val="clear" w:fill="FFFFFF"/>
        </w:rPr>
      </w:pPr>
      <w:r>
        <w:rPr>
          <w:rFonts w:hint="eastAsia" w:ascii="宋体" w:hAnsi="宋体" w:eastAsia="宋体" w:cs="宋体"/>
          <w:b/>
          <w:bCs/>
          <w:i w:val="0"/>
          <w:iCs w:val="0"/>
          <w:caps w:val="0"/>
          <w:color w:val="333333"/>
          <w:spacing w:val="0"/>
          <w:sz w:val="36"/>
          <w:szCs w:val="36"/>
          <w:shd w:val="clear" w:fill="FFFFFF"/>
        </w:rPr>
        <w:t>内蒙古拍卖行业协会五届五次理事会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宋体" w:hAnsi="宋体" w:eastAsia="宋体" w:cs="宋体"/>
          <w:b/>
          <w:bCs/>
          <w:i w:val="0"/>
          <w:iCs w:val="0"/>
          <w:caps w:val="0"/>
          <w:color w:val="333333"/>
          <w:spacing w:val="0"/>
          <w:sz w:val="36"/>
          <w:szCs w:val="36"/>
          <w:shd w:val="clear" w:fill="FFFFFF"/>
        </w:rPr>
      </w:pPr>
      <w:r>
        <w:rPr>
          <w:rFonts w:hint="eastAsia" w:ascii="宋体" w:hAnsi="宋体" w:eastAsia="宋体" w:cs="宋体"/>
          <w:b/>
          <w:bCs/>
          <w:i w:val="0"/>
          <w:iCs w:val="0"/>
          <w:caps w:val="0"/>
          <w:color w:val="333333"/>
          <w:spacing w:val="0"/>
          <w:sz w:val="36"/>
          <w:szCs w:val="36"/>
          <w:shd w:val="clear" w:fill="FFFFFF"/>
        </w:rPr>
        <w:t>暨五届八次常务理会圆满落幕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宋体" w:hAnsi="宋体" w:eastAsia="宋体" w:cs="宋体"/>
          <w:b/>
          <w:bCs/>
          <w:i w:val="0"/>
          <w:iCs w:val="0"/>
          <w:caps w:val="0"/>
          <w:color w:val="333333"/>
          <w:spacing w:val="0"/>
          <w:sz w:val="44"/>
          <w:szCs w:val="44"/>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面对国际新冠肺炎疫情形势依然复杂严峻且病毒传播方式趋于多样化，国内多地零星散发和局部聚集性病例不断出现，为了大家的安全考虑，同时也考虑到大家的工作时间安排，本次内蒙古拍卖行业协会五届五次理事会暨五届八次常务理会采取了线上形式召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2021年1月28日上午九点，会议准时召开。现场参会人员有会长王志江、秘书长娜晴、副会长赵军、王罡、郭素英；腾讯会议室线上参会人员有副会长白宝山、李晓玲、林树增、王峰、赵秋霞、高燕刚、王凤林、刘剑；常务理事宋一峰；理事惠彬、刘俊峰、艾常明、张宏宇以及委托授权参会的内蒙古万鼎拍卖有限责任公司总经理杨子卿、乌兰察布和盛拍卖有限公司郭建香等代表共计28人参会，符合《章程》参会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本次会议主要议题有：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（1）审议2020年内蒙古拍卖行业协会工作报告；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（2）审议2020年财务报告；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（3）审议协会会费（企业）缴纳情况；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会议由王罡副会长主持召开，王会长表示由于疫情原因我们没能面对面交流，但是我们勇于尝试新事物，采取线上线下相结合的会议模式，大家在网络会议室一样可以畅所欲言，为我们行业建言献策。会议首先由王志江会长做《2020内蒙古拍卖行业协会工作报告》报告中向各位参会人员介绍了1-12月份的全区拍卖行业与去年同期的经营统计分析对比，从数据中以及图表里可以看出我区拍卖业务是受到疫情影响的，多个业务板块出现负增长；报告中还介绍了2020年协会在疫情初期的一些重点工作；协会承接的商务厅的“节能宣传周”和“安全生产月”两项活动，以及关于司法辅助工作多次走访高院并出具相关文件函询和协会收到企业反馈并与委托方协调出具相关意见函等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娜晴秘书长汇报了2020年全年的财务收支情况，并感谢大家一直以来对协会秘书处工作的支持和帮助，协会一直都是以会员单位服务为宗旨，充分发挥桥梁、纽带、协调、服务的职能，为维护企业的合法利益，促进行业健康有序的发展在不断的努力，希望今后大家可以更加积极的配合协会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郭素英副会长通报了今年的会费缴纳情况，大家纷纷表示缴纳会费是我们会员的基本义务，希望大家都能按时缴纳会费。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随后王罡副会长主持审议了以上三项会议内容，与会代表举手表决通过。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上午理事会后，协会安排了网路形式的行业论坛，首先邀请到陕西省公共资源交易中心李锋处长做《拍卖机构与交易平台的合作发展》的讲解，李处从新形势下拍卖机构发展面临的挑战和机遇，掌握在交易平台组织拍卖活动的工作内容和要点，探讨化解交易风险，实现交易目标的方式方法出发，多个角度多个方面阐述了新形势下拍卖机构发展面临的挑战和机遇，以及如何利用公共资源交易平台开展拍卖活动的要点与方法。给我区广大企业和拍卖师带来了一些新的思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接着我们邀请到了湖北两家优秀的企业代表分享了他们的先进经验。湖北诚信拍卖有限公司的陈新副总经理介绍了开展艺术品“周周拍”的做法。其实“周周拍”这种形式非常鲜活生动，我们可以不仅仅局限于大件的拍品房子、车子，更多的转换思路走向生活的生产生活用品。这个也是内蒙企业可以去考虑的一个方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最后由湖北德润古今拍卖有限公司杨晨副总经理介绍了湖北省第一单国有土地“云拍卖”的做法。湖北的疫情结束后，反而让湖北的企业将拍卖的重心放到了网络云拍卖上来，他们公司自主研发的拍卖平台用来解决当地国有资产和土地的线上拍卖，并取得了很好的成果。交流结束后与会人员普遍认为“云拍卖”方式在这样疫情突发的情况下显得尤为重要，我区的拍卖企业应该扭转思路，充分利用拍卖+互联网的强大优势，努力提高自身的竞争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虽然是远程会议可是距离并没有影响大家的与会热情以及学习精神。上午的理事会以及分享结束后，下午在线上会议室为会员们播放了中拍协关于《民法典》的课程。至此2020年内蒙古拍卖行业协会五届五次理事会暨五届八次常务理会圆满结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协会始终是企业的后盾，是企业的依靠，在能够发声的地方、能够呼吁的时候协会始终会不遗余力地去做。最后祝我区拍卖企业可以摆脱桎梏，从新掌握主动权，在新的一年里取得更好的成绩。</w:t>
      </w:r>
    </w:p>
    <w:p>
      <w:pPr>
        <w:keepNext w:val="0"/>
        <w:keepLines w:val="0"/>
        <w:widowControl/>
        <w:suppressLineNumbers w:val="0"/>
        <w:spacing w:before="0" w:beforeAutospacing="1" w:after="0" w:afterAutospacing="1"/>
        <w:ind w:left="0" w:right="0" w:firstLine="723" w:firstLineChars="200"/>
        <w:jc w:val="center"/>
        <w:rPr>
          <w:rFonts w:hint="default" w:ascii="宋体" w:hAnsi="宋体" w:eastAsia="宋体" w:cs="宋体"/>
          <w:b/>
          <w:bCs/>
          <w:kern w:val="2"/>
          <w:sz w:val="36"/>
          <w:szCs w:val="36"/>
          <w:lang w:val="en-US" w:eastAsia="zh-CN" w:bidi="ar"/>
        </w:rPr>
      </w:pPr>
      <w:r>
        <w:rPr>
          <w:rFonts w:hint="eastAsia" w:ascii="宋体" w:hAnsi="宋体" w:eastAsia="宋体" w:cs="宋体"/>
          <w:b/>
          <w:bCs/>
          <w:kern w:val="2"/>
          <w:sz w:val="36"/>
          <w:szCs w:val="36"/>
          <w:lang w:val="en-US" w:eastAsia="zh-CN" w:bidi="ar"/>
        </w:rPr>
        <w:t>内拍协王志江会长、娜晴秘书长拜会商务厅分管拍卖业务领导</w:t>
      </w:r>
    </w:p>
    <w:p>
      <w:pPr>
        <w:keepNext w:val="0"/>
        <w:keepLines w:val="0"/>
        <w:widowControl/>
        <w:suppressLineNumbers w:val="0"/>
        <w:spacing w:before="0" w:beforeAutospacing="1" w:after="0" w:afterAutospacing="1"/>
        <w:ind w:left="0" w:right="0" w:firstLine="560" w:firstLineChars="200"/>
        <w:jc w:val="left"/>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2021年3月26日，内蒙古拍卖行业协会王志江会长、娜晴秘书长前往商务厅，拜会了服务贸易处分管拍卖业务的崔坚副处长。这也是我区拍卖主管领导处室业务变更以后的首次拜访。王志江会长和娜晴秘书长简单介绍了一下我区拍卖企业的现状，各个盟市的企业数量及发展状况。崔坚副处长肯定了内蒙古拍卖行业协会的工作，他希望以后双方加强工作联系，一起做好服务工作，为内蒙古拍卖行业健康有序发展继续共同努力。</w:t>
      </w:r>
    </w:p>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20</w:t>
      </w:r>
      <w:r>
        <w:rPr>
          <w:rFonts w:hint="eastAsia" w:asciiTheme="majorEastAsia" w:hAnsiTheme="majorEastAsia" w:eastAsiaTheme="majorEastAsia" w:cstheme="majorEastAsia"/>
          <w:b/>
          <w:bCs/>
          <w:sz w:val="36"/>
          <w:szCs w:val="36"/>
          <w:lang w:val="en-US" w:eastAsia="zh-CN"/>
        </w:rPr>
        <w:t>20</w:t>
      </w:r>
      <w:r>
        <w:rPr>
          <w:rFonts w:hint="eastAsia" w:asciiTheme="majorEastAsia" w:hAnsiTheme="majorEastAsia" w:eastAsiaTheme="majorEastAsia" w:cstheme="majorEastAsia"/>
          <w:b/>
          <w:bCs/>
          <w:sz w:val="36"/>
          <w:szCs w:val="36"/>
        </w:rPr>
        <w:t>年</w:t>
      </w:r>
      <w:r>
        <w:rPr>
          <w:rFonts w:hint="eastAsia" w:asciiTheme="majorEastAsia" w:hAnsiTheme="majorEastAsia" w:eastAsiaTheme="majorEastAsia" w:cstheme="majorEastAsia"/>
          <w:b/>
          <w:bCs/>
          <w:sz w:val="36"/>
          <w:szCs w:val="36"/>
          <w:lang w:eastAsia="zh-CN"/>
        </w:rPr>
        <w:t>内蒙古自治区</w:t>
      </w:r>
      <w:r>
        <w:rPr>
          <w:rFonts w:hint="eastAsia" w:asciiTheme="majorEastAsia" w:hAnsiTheme="majorEastAsia" w:eastAsiaTheme="majorEastAsia" w:cstheme="majorEastAsia"/>
          <w:b/>
          <w:bCs/>
          <w:sz w:val="36"/>
          <w:szCs w:val="36"/>
        </w:rPr>
        <w:t>拍卖企业</w:t>
      </w:r>
    </w:p>
    <w:p>
      <w:pPr>
        <w:jc w:val="center"/>
        <w:rPr>
          <w:rFonts w:hint="default"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eastAsia="zh-CN"/>
        </w:rPr>
        <w:t>信用</w:t>
      </w:r>
      <w:r>
        <w:rPr>
          <w:rFonts w:hint="eastAsia" w:asciiTheme="majorEastAsia" w:hAnsiTheme="majorEastAsia" w:eastAsiaTheme="majorEastAsia" w:cstheme="majorEastAsia"/>
          <w:b/>
          <w:bCs/>
          <w:sz w:val="36"/>
          <w:szCs w:val="36"/>
        </w:rPr>
        <w:t>等级评估结果</w:t>
      </w:r>
      <w:r>
        <w:rPr>
          <w:rFonts w:hint="eastAsia" w:asciiTheme="majorEastAsia" w:hAnsiTheme="majorEastAsia" w:eastAsiaTheme="majorEastAsia" w:cstheme="majorEastAsia"/>
          <w:b/>
          <w:bCs/>
          <w:sz w:val="36"/>
          <w:szCs w:val="36"/>
          <w:lang w:val="en-US" w:eastAsia="zh-CN"/>
        </w:rPr>
        <w:t>公告</w:t>
      </w: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全区各拍卖企业： </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在内蒙古自治区商务厅等有关部门的指导下</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lang w:val="en-US" w:eastAsia="zh-CN"/>
        </w:rPr>
        <w:t xml:space="preserve">内蒙古拍卖行业协会于2020年8至12月份开展了内蒙古自治区拍卖企业信用等级评估工作，共有48家拍卖企业自愿申请参评。 </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按照内蒙古拍卖行业协会拍卖企业信用等级评估委员会会议确定的评估工作原则和程序，内蒙古拍卖企业信用等级评估工作小组负责组织实施评估工作。企业资料申报后，</w:t>
      </w:r>
      <w:r>
        <w:rPr>
          <w:rFonts w:hint="eastAsia" w:asciiTheme="minorEastAsia" w:hAnsiTheme="minorEastAsia" w:cstheme="minorEastAsia"/>
          <w:sz w:val="28"/>
          <w:szCs w:val="28"/>
          <w:lang w:val="en-US" w:eastAsia="zh-CN"/>
        </w:rPr>
        <w:t>由</w:t>
      </w:r>
      <w:r>
        <w:rPr>
          <w:rFonts w:hint="eastAsia" w:asciiTheme="minorEastAsia" w:hAnsiTheme="minorEastAsia" w:eastAsiaTheme="minorEastAsia" w:cstheme="minorEastAsia"/>
          <w:sz w:val="28"/>
          <w:szCs w:val="28"/>
          <w:lang w:val="en-US" w:eastAsia="zh-CN"/>
        </w:rPr>
        <w:t>第三方评估机构根据企业申报资料审核校对后提交专业报告，内蒙古拍卖企业信用等级评估委员会根据以上资料和专业报告进行了初步审核，初评结果向内蒙古自治区商务厅等有关部门征求意见后，最终审议确定了2020年内蒙古自治区拍卖企业信用等级评估结果的名单，评出5A级企业11家，4A级企业1</w:t>
      </w:r>
      <w:r>
        <w:rPr>
          <w:rFonts w:hint="eastAsia" w:asciiTheme="minorEastAsia" w:hAnsiTheme="minorEastAsia" w:cstheme="minorEastAsia"/>
          <w:sz w:val="28"/>
          <w:szCs w:val="28"/>
          <w:lang w:val="en-US" w:eastAsia="zh-CN"/>
        </w:rPr>
        <w:t>7</w:t>
      </w:r>
      <w:r>
        <w:rPr>
          <w:rFonts w:hint="eastAsia" w:asciiTheme="minorEastAsia" w:hAnsiTheme="minorEastAsia" w:eastAsiaTheme="minorEastAsia" w:cstheme="minorEastAsia"/>
          <w:sz w:val="28"/>
          <w:szCs w:val="28"/>
          <w:lang w:val="en-US" w:eastAsia="zh-CN"/>
        </w:rPr>
        <w:t>家，3A级企业11家，2A级企业3家，1A级企业5家，一家未达到评级标准。</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经过为期7天的公示期，</w:t>
      </w:r>
      <w:r>
        <w:rPr>
          <w:rFonts w:hint="eastAsia" w:asciiTheme="minorEastAsia" w:hAnsiTheme="minorEastAsia" w:eastAsiaTheme="minorEastAsia" w:cstheme="minorEastAsia"/>
          <w:sz w:val="28"/>
          <w:szCs w:val="28"/>
        </w:rPr>
        <w:t xml:space="preserve">现将评定结果予以公布。 </w:t>
      </w:r>
    </w:p>
    <w:p>
      <w:pPr>
        <w:jc w:val="right"/>
        <w:rPr>
          <w:rFonts w:hint="eastAsia" w:asciiTheme="minorEastAsia" w:hAnsiTheme="minorEastAsia" w:cstheme="minorEastAsia"/>
          <w:b w:val="0"/>
          <w:bCs w:val="0"/>
          <w:sz w:val="28"/>
          <w:szCs w:val="28"/>
          <w:lang w:val="en-US" w:eastAsia="zh-CN"/>
        </w:rPr>
      </w:pPr>
    </w:p>
    <w:p>
      <w:pPr>
        <w:jc w:val="right"/>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内蒙古拍卖行业协会</w:t>
      </w:r>
    </w:p>
    <w:p>
      <w:pPr>
        <w:jc w:val="right"/>
        <w:rPr>
          <w:rFonts w:hint="eastAsia" w:asciiTheme="minorEastAsia" w:hAnsiTheme="minorEastAsia" w:eastAsiaTheme="minorEastAsia" w:cstheme="minorEastAsia"/>
          <w:b/>
          <w:bCs/>
          <w:sz w:val="28"/>
          <w:szCs w:val="28"/>
        </w:rPr>
      </w:pPr>
      <w:r>
        <w:rPr>
          <w:rFonts w:hint="eastAsia" w:asciiTheme="minorEastAsia" w:hAnsiTheme="minorEastAsia" w:cstheme="minorEastAsia"/>
          <w:b w:val="0"/>
          <w:bCs w:val="0"/>
          <w:sz w:val="28"/>
          <w:szCs w:val="28"/>
          <w:lang w:val="en-US" w:eastAsia="zh-CN"/>
        </w:rPr>
        <w:t>2021年2月1日</w:t>
      </w:r>
    </w:p>
    <w:p>
      <w:pPr>
        <w:rPr>
          <w:rFonts w:hint="eastAsia" w:asciiTheme="minorEastAsia" w:hAnsiTheme="minorEastAsia" w:eastAsiaTheme="minorEastAsia" w:cstheme="minorEastAsia"/>
          <w:b/>
          <w:bCs/>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附件：20</w:t>
      </w:r>
      <w:r>
        <w:rPr>
          <w:rFonts w:hint="eastAsia" w:asciiTheme="minorEastAsia" w:hAnsiTheme="minorEastAsia" w:cstheme="minorEastAsia"/>
          <w:b/>
          <w:bCs/>
          <w:sz w:val="28"/>
          <w:szCs w:val="28"/>
          <w:lang w:val="en-US" w:eastAsia="zh-CN"/>
        </w:rPr>
        <w:t>20</w:t>
      </w:r>
      <w:r>
        <w:rPr>
          <w:rFonts w:hint="eastAsia" w:asciiTheme="minorEastAsia" w:hAnsiTheme="minorEastAsia" w:eastAsiaTheme="minorEastAsia" w:cstheme="minorEastAsia"/>
          <w:b/>
          <w:bCs/>
          <w:sz w:val="28"/>
          <w:szCs w:val="28"/>
        </w:rPr>
        <w:t>年拍卖企业</w:t>
      </w:r>
      <w:r>
        <w:rPr>
          <w:rFonts w:hint="eastAsia" w:asciiTheme="minorEastAsia" w:hAnsiTheme="minorEastAsia" w:eastAsiaTheme="minorEastAsia" w:cstheme="minorEastAsia"/>
          <w:b/>
          <w:bCs/>
          <w:sz w:val="28"/>
          <w:szCs w:val="28"/>
          <w:lang w:eastAsia="zh-CN"/>
        </w:rPr>
        <w:t>信用</w:t>
      </w:r>
      <w:r>
        <w:rPr>
          <w:rFonts w:hint="eastAsia" w:asciiTheme="minorEastAsia" w:hAnsiTheme="minorEastAsia" w:eastAsiaTheme="minorEastAsia" w:cstheme="minorEastAsia"/>
          <w:b/>
          <w:bCs/>
          <w:sz w:val="28"/>
          <w:szCs w:val="28"/>
        </w:rPr>
        <w:t>等级评估名单</w:t>
      </w:r>
      <w:r>
        <w:rPr>
          <w:rFonts w:hint="eastAsia" w:asciiTheme="minorEastAsia" w:hAnsiTheme="minorEastAsia" w:eastAsiaTheme="minorEastAsia" w:cstheme="minorEastAsia"/>
          <w:sz w:val="28"/>
          <w:szCs w:val="28"/>
        </w:rPr>
        <w:t xml:space="preserve"> </w:t>
      </w:r>
    </w:p>
    <w:p>
      <w:pPr>
        <w:rPr>
          <w:rFonts w:hint="eastAsia" w:asciiTheme="minorEastAsia" w:hAnsiTheme="minorEastAsia" w:eastAsiaTheme="minorEastAsia" w:cstheme="minorEastAsia"/>
          <w:sz w:val="28"/>
          <w:szCs w:val="28"/>
        </w:rPr>
      </w:pPr>
    </w:p>
    <w:tbl>
      <w:tblPr>
        <w:tblStyle w:val="7"/>
        <w:tblW w:w="9330" w:type="dxa"/>
        <w:tblInd w:w="-652" w:type="dxa"/>
        <w:shd w:val="clear" w:color="auto" w:fill="auto"/>
        <w:tblLayout w:type="fixed"/>
        <w:tblCellMar>
          <w:top w:w="0" w:type="dxa"/>
          <w:left w:w="0" w:type="dxa"/>
          <w:bottom w:w="0" w:type="dxa"/>
          <w:right w:w="0" w:type="dxa"/>
        </w:tblCellMar>
      </w:tblPr>
      <w:tblGrid>
        <w:gridCol w:w="1170"/>
        <w:gridCol w:w="6615"/>
        <w:gridCol w:w="1545"/>
      </w:tblGrid>
      <w:tr>
        <w:tblPrEx>
          <w:shd w:val="clear" w:color="auto" w:fill="auto"/>
          <w:tblCellMar>
            <w:top w:w="0" w:type="dxa"/>
            <w:left w:w="0" w:type="dxa"/>
            <w:bottom w:w="0" w:type="dxa"/>
            <w:right w:w="0" w:type="dxa"/>
          </w:tblCellMar>
        </w:tblPrEx>
        <w:trPr>
          <w:trHeight w:val="920" w:hRule="atLeast"/>
        </w:trPr>
        <w:tc>
          <w:tcPr>
            <w:tcW w:w="933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36"/>
                <w:szCs w:val="36"/>
                <w:u w:val="none"/>
                <w:lang w:val="en-US" w:eastAsia="zh-CN" w:bidi="ar"/>
              </w:rPr>
              <w:t>2020年内蒙古自治区拍卖企业信用等级评估名单</w:t>
            </w:r>
          </w:p>
        </w:tc>
      </w:tr>
      <w:tr>
        <w:tblPrEx>
          <w:tblCellMar>
            <w:top w:w="0" w:type="dxa"/>
            <w:left w:w="0" w:type="dxa"/>
            <w:bottom w:w="0" w:type="dxa"/>
            <w:right w:w="0" w:type="dxa"/>
          </w:tblCellMar>
        </w:tblPrEx>
        <w:trPr>
          <w:trHeight w:val="72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序号</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2"/>
                <w:sz w:val="24"/>
                <w:szCs w:val="24"/>
                <w:u w:val="none"/>
                <w:lang w:val="en-US" w:eastAsia="zh-CN" w:bidi="ar-SA"/>
              </w:rPr>
            </w:pPr>
            <w:r>
              <w:rPr>
                <w:rFonts w:hint="eastAsia" w:ascii="宋体" w:hAnsi="宋体" w:eastAsia="宋体" w:cs="宋体"/>
                <w:b/>
                <w:i w:val="0"/>
                <w:color w:val="000000"/>
                <w:kern w:val="0"/>
                <w:sz w:val="24"/>
                <w:szCs w:val="24"/>
                <w:u w:val="none"/>
                <w:lang w:val="en-US" w:eastAsia="zh-CN" w:bidi="ar"/>
              </w:rPr>
              <w:t>公司名称</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2"/>
                <w:sz w:val="24"/>
                <w:szCs w:val="24"/>
                <w:u w:val="none"/>
                <w:lang w:val="en-US" w:eastAsia="zh-CN" w:bidi="ar-SA"/>
              </w:rPr>
            </w:pPr>
            <w:r>
              <w:rPr>
                <w:rFonts w:hint="eastAsia" w:ascii="宋体" w:hAnsi="宋体" w:eastAsia="宋体" w:cs="宋体"/>
                <w:b/>
                <w:i w:val="0"/>
                <w:color w:val="000000"/>
                <w:kern w:val="0"/>
                <w:sz w:val="24"/>
                <w:szCs w:val="24"/>
                <w:u w:val="none"/>
                <w:lang w:val="en-US" w:eastAsia="zh-CN" w:bidi="ar"/>
              </w:rPr>
              <w:t>等级</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内蒙古众汇拍卖有限责任公司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内蒙古通达拍卖有限责任公司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内蒙古中宣拍卖有限责任公司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内蒙古冀声拍卖有限责任公司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赤峰宏达拍卖有限责任公司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呼伦贝尔市公物拍卖有限责任公司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鄂尔多斯市益嘉拍卖有限责任公司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鄂尔多斯市联兴拍卖有限责任公司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兴安盟新岸拍卖有限责任公司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内蒙古及时雨拍卖有限公司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5A</w:t>
            </w:r>
          </w:p>
        </w:tc>
      </w:tr>
      <w:tr>
        <w:tblPrEx>
          <w:tblCellMar>
            <w:top w:w="0" w:type="dxa"/>
            <w:left w:w="0" w:type="dxa"/>
            <w:bottom w:w="0" w:type="dxa"/>
            <w:right w:w="0" w:type="dxa"/>
          </w:tblCellMar>
        </w:tblPrEx>
        <w:trPr>
          <w:trHeight w:val="84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11</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内蒙古金槌拍卖有限公司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12</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通辽市正大拍卖有限责任公司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内蒙古三合拍卖有限责任公司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乌兰察布市雄帝拍卖有限责任公司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内蒙古嘉保拍卖有限责任公司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内蒙古国拍拍卖有限责任公司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乌兰察布市康信拍卖有限责任公司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内蒙古嘉利拍卖有限责任公司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内蒙古嘉得拍卖有限责任公司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内蒙古凯德拍卖有限责任公司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赤峰诚誉拍卖有限责任公司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内蒙古嘉恒拍卖有限公司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乌兰察布市万达拍卖有限责任公司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内蒙古红力拍卖有限责任公司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乌兰察布市和盛拍卖有限公司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满洲里市公物拍卖有限责任公司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内蒙古诚德拍卖有限责任公司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巴彦淖尔市信成拍卖有限责任公司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4A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29</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内蒙古百格利拍卖有限责任公司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兴安盟公平拍卖有限公司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31</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内蒙古金鼎拍卖有限公司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32</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锡林郭勒盟多丽拍卖有限责任公司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33</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内蒙古滕泰机动车拍卖有限公司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34</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内蒙古鸿泽拍卖有限责任公司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35</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内蒙古银企拍卖有限责任公司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36</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鄂尔多斯市嘉诺拍卖有限责任公司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37</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内蒙古诚泰拍卖有限公司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38</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内蒙古光大拍卖有限公司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39</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内蒙古日惟拍卖有限责任公司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阿拉善拍卖行</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41</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乌海市国益拍卖有限责任公司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42</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内蒙古宇恒泰拍卖有限责任公司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43</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呼伦贝尔市金典拍卖有限责任公司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44</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内蒙古信成拍卖有限责任公司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45</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内蒙古公平拍卖有限责任公司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46</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内蒙古金衡拍卖有限责任公司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1A</w:t>
            </w:r>
          </w:p>
        </w:tc>
      </w:tr>
      <w:tr>
        <w:tblPrEx>
          <w:tblCellMar>
            <w:top w:w="0" w:type="dxa"/>
            <w:left w:w="0" w:type="dxa"/>
            <w:bottom w:w="0" w:type="dxa"/>
            <w:right w:w="0" w:type="dxa"/>
          </w:tblCellMar>
        </w:tblPrEx>
        <w:trPr>
          <w:trHeight w:val="850" w:hRule="exac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47</w:t>
            </w:r>
          </w:p>
        </w:tc>
        <w:tc>
          <w:tcPr>
            <w:tcW w:w="6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内蒙古北方拍卖联盟有限公司</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1A</w:t>
            </w:r>
          </w:p>
        </w:tc>
      </w:tr>
    </w:tbl>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
      <w:pPr>
        <w:rPr>
          <w:rFonts w:hint="default"/>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1" w:lineRule="atLeast"/>
        <w:ind w:left="0" w:right="0"/>
        <w:jc w:val="center"/>
        <w:rPr>
          <w:rFonts w:hint="eastAsia" w:ascii="宋体" w:hAnsi="宋体" w:eastAsia="宋体" w:cs="宋体"/>
          <w:b/>
          <w:sz w:val="28"/>
          <w:szCs w:val="28"/>
        </w:rPr>
      </w:pPr>
      <w:r>
        <w:rPr>
          <w:rFonts w:hint="eastAsia" w:ascii="宋体" w:hAnsi="宋体" w:eastAsia="宋体" w:cs="宋体"/>
          <w:b/>
          <w:i w:val="0"/>
          <w:caps w:val="0"/>
          <w:color w:val="333333"/>
          <w:spacing w:val="8"/>
          <w:sz w:val="28"/>
          <w:szCs w:val="28"/>
          <w:shd w:val="clear" w:fill="FFFFFF"/>
        </w:rPr>
        <w:t>关于发布《</w:t>
      </w:r>
      <w:r>
        <w:rPr>
          <w:rFonts w:hint="eastAsia" w:cs="宋体"/>
          <w:b/>
          <w:i w:val="0"/>
          <w:caps w:val="0"/>
          <w:color w:val="333333"/>
          <w:spacing w:val="8"/>
          <w:sz w:val="28"/>
          <w:szCs w:val="28"/>
          <w:shd w:val="clear" w:fill="FFFFFF"/>
          <w:lang w:val="en-US" w:eastAsia="zh-CN"/>
        </w:rPr>
        <w:t>内蒙古</w:t>
      </w:r>
      <w:r>
        <w:rPr>
          <w:rFonts w:hint="eastAsia" w:ascii="宋体" w:hAnsi="宋体" w:eastAsia="宋体" w:cs="宋体"/>
          <w:b/>
          <w:i w:val="0"/>
          <w:caps w:val="0"/>
          <w:color w:val="333333"/>
          <w:spacing w:val="8"/>
          <w:sz w:val="28"/>
          <w:szCs w:val="28"/>
          <w:shd w:val="clear" w:fill="FFFFFF"/>
        </w:rPr>
        <w:t>拍卖企业新冠肺炎疫情常态化防控技术指引》的通知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lang w:val="en-US" w:eastAsia="zh-CN"/>
        </w:rPr>
        <w:t>全区</w:t>
      </w:r>
      <w:r>
        <w:rPr>
          <w:rFonts w:hint="eastAsia" w:ascii="宋体" w:hAnsi="宋体" w:eastAsia="宋体" w:cs="宋体"/>
          <w:b w:val="0"/>
          <w:i w:val="0"/>
          <w:caps w:val="0"/>
          <w:color w:val="333333"/>
          <w:spacing w:val="8"/>
          <w:sz w:val="28"/>
          <w:szCs w:val="28"/>
          <w:shd w:val="clear" w:fill="FFFFFF"/>
        </w:rPr>
        <w:t>各拍卖企业：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92" w:firstLineChars="200"/>
        <w:jc w:val="left"/>
        <w:rPr>
          <w:rFonts w:hint="eastAsia" w:ascii="宋体" w:hAnsi="宋体" w:eastAsia="宋体" w:cs="宋体"/>
          <w:b w:val="0"/>
          <w:i w:val="0"/>
          <w:caps w:val="0"/>
          <w:color w:val="333333"/>
          <w:spacing w:val="8"/>
          <w:kern w:val="0"/>
          <w:sz w:val="28"/>
          <w:szCs w:val="28"/>
          <w:shd w:val="clear" w:fill="FFFFFF"/>
          <w:lang w:val="en-US" w:eastAsia="zh-CN" w:bidi="ar"/>
        </w:rPr>
      </w:pPr>
      <w:r>
        <w:rPr>
          <w:rFonts w:hint="eastAsia" w:ascii="宋体" w:hAnsi="宋体" w:eastAsia="宋体" w:cs="宋体"/>
          <w:b w:val="0"/>
          <w:i w:val="0"/>
          <w:caps w:val="0"/>
          <w:color w:val="333333"/>
          <w:spacing w:val="8"/>
          <w:kern w:val="0"/>
          <w:sz w:val="28"/>
          <w:szCs w:val="28"/>
          <w:shd w:val="clear" w:fill="FFFFFF"/>
          <w:lang w:val="en-US" w:eastAsia="zh-CN" w:bidi="ar"/>
        </w:rPr>
        <w:t>当前，国际新冠肺炎疫情形势依然复杂严峻且病毒传播方式趋于多样化，国内多地零星散发和局部聚集性病例不断出现，为帮助引导拍卖企业持续做好疫情防控工作，现发布《内蒙古拍卖企业新冠肺炎疫情常态化防控技术指引》，供各拍卖企业参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92" w:firstLineChars="200"/>
        <w:jc w:val="right"/>
        <w:rPr>
          <w:rFonts w:hint="eastAsia" w:ascii="宋体" w:hAnsi="宋体" w:eastAsia="宋体" w:cs="宋体"/>
          <w:b w:val="0"/>
          <w:i w:val="0"/>
          <w:caps w:val="0"/>
          <w:color w:val="333333"/>
          <w:spacing w:val="8"/>
          <w:kern w:val="0"/>
          <w:sz w:val="28"/>
          <w:szCs w:val="28"/>
          <w:shd w:val="clear" w:fill="FFFFFF"/>
          <w:lang w:val="en-US" w:eastAsia="zh-CN" w:bidi="ar"/>
        </w:rPr>
      </w:pPr>
      <w:r>
        <w:rPr>
          <w:rFonts w:hint="eastAsia" w:ascii="宋体" w:hAnsi="宋体" w:eastAsia="宋体" w:cs="宋体"/>
          <w:b w:val="0"/>
          <w:i w:val="0"/>
          <w:caps w:val="0"/>
          <w:color w:val="333333"/>
          <w:spacing w:val="8"/>
          <w:kern w:val="0"/>
          <w:sz w:val="28"/>
          <w:szCs w:val="28"/>
          <w:shd w:val="clear" w:fill="FFFFFF"/>
          <w:lang w:val="en-US" w:eastAsia="zh-CN" w:bidi="ar"/>
        </w:rPr>
        <w:t>内蒙古拍卖行业协会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92" w:firstLineChars="200"/>
        <w:jc w:val="right"/>
        <w:rPr>
          <w:rFonts w:hint="eastAsia" w:ascii="宋体" w:hAnsi="宋体" w:eastAsia="宋体" w:cs="宋体"/>
          <w:b w:val="0"/>
          <w:i w:val="0"/>
          <w:caps w:val="0"/>
          <w:color w:val="333333"/>
          <w:spacing w:val="8"/>
          <w:sz w:val="28"/>
          <w:szCs w:val="28"/>
        </w:rPr>
      </w:pPr>
      <w:r>
        <w:rPr>
          <w:rFonts w:hint="eastAsia" w:ascii="宋体" w:hAnsi="宋体" w:eastAsia="宋体" w:cs="宋体"/>
          <w:b w:val="0"/>
          <w:i w:val="0"/>
          <w:caps w:val="0"/>
          <w:color w:val="333333"/>
          <w:spacing w:val="8"/>
          <w:kern w:val="0"/>
          <w:sz w:val="28"/>
          <w:szCs w:val="28"/>
          <w:shd w:val="clear" w:fill="FFFFFF"/>
          <w:lang w:val="en-US" w:eastAsia="zh-CN" w:bidi="ar"/>
        </w:rPr>
        <w:t>2021年1月26日</w:t>
      </w:r>
    </w:p>
    <w:p>
      <w:pPr>
        <w:keepNext w:val="0"/>
        <w:keepLines w:val="0"/>
        <w:widowControl/>
        <w:suppressLineNumbers w:val="0"/>
        <w:spacing w:before="0" w:beforeAutospacing="0" w:after="0" w:afterAutospacing="0"/>
        <w:ind w:left="0" w:right="0"/>
        <w:jc w:val="center"/>
        <w:rPr>
          <w:rStyle w:val="9"/>
          <w:rFonts w:hint="eastAsia" w:ascii="宋体" w:hAnsi="宋体" w:eastAsia="宋体" w:cs="宋体"/>
          <w:i w:val="0"/>
          <w:caps w:val="0"/>
          <w:color w:val="333333"/>
          <w:spacing w:val="8"/>
          <w:kern w:val="0"/>
          <w:sz w:val="28"/>
          <w:szCs w:val="28"/>
          <w:shd w:val="clear" w:fill="FFFFFF"/>
          <w:lang w:val="en-US" w:eastAsia="zh-CN" w:bidi="ar"/>
        </w:rPr>
      </w:pPr>
      <w:r>
        <w:rPr>
          <w:rFonts w:hint="eastAsia" w:ascii="宋体" w:hAnsi="宋体" w:eastAsia="宋体" w:cs="宋体"/>
          <w:b w:val="0"/>
          <w:i w:val="0"/>
          <w:caps w:val="0"/>
          <w:color w:val="333333"/>
          <w:spacing w:val="8"/>
          <w:kern w:val="0"/>
          <w:sz w:val="28"/>
          <w:szCs w:val="28"/>
          <w:shd w:val="clear" w:fill="FFFFFF"/>
          <w:lang w:val="en-US" w:eastAsia="zh-CN" w:bidi="ar"/>
        </w:rPr>
        <w:br w:type="textWrapping"/>
      </w:r>
      <w:r>
        <w:rPr>
          <w:rStyle w:val="9"/>
          <w:rFonts w:hint="eastAsia" w:ascii="宋体" w:hAnsi="宋体" w:eastAsia="宋体" w:cs="宋体"/>
          <w:i w:val="0"/>
          <w:caps w:val="0"/>
          <w:color w:val="333333"/>
          <w:spacing w:val="8"/>
          <w:kern w:val="0"/>
          <w:sz w:val="28"/>
          <w:szCs w:val="28"/>
          <w:shd w:val="clear" w:fill="FFFFFF"/>
          <w:lang w:val="en-US" w:eastAsia="zh-CN" w:bidi="ar"/>
        </w:rPr>
        <w:t>《内蒙古拍卖企业新冠肺炎疫情常态化防控技术指引》</w:t>
      </w:r>
    </w:p>
    <w:p>
      <w:pPr>
        <w:keepNext w:val="0"/>
        <w:keepLines w:val="0"/>
        <w:widowControl/>
        <w:suppressLineNumbers w:val="0"/>
        <w:spacing w:before="0" w:beforeAutospacing="0" w:after="0" w:afterAutospacing="0"/>
        <w:ind w:left="0" w:right="0"/>
        <w:jc w:val="center"/>
        <w:rPr>
          <w:rStyle w:val="9"/>
          <w:rFonts w:hint="eastAsia" w:ascii="宋体" w:hAnsi="宋体" w:eastAsia="宋体" w:cs="宋体"/>
          <w:i w:val="0"/>
          <w:caps w:val="0"/>
          <w:color w:val="333333"/>
          <w:spacing w:val="8"/>
          <w:kern w:val="0"/>
          <w:sz w:val="28"/>
          <w:szCs w:val="28"/>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一、适用范围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（一）本指引适用于</w:t>
      </w:r>
      <w:r>
        <w:rPr>
          <w:rFonts w:hint="eastAsia" w:ascii="宋体" w:hAnsi="宋体" w:eastAsia="宋体" w:cs="宋体"/>
          <w:b w:val="0"/>
          <w:i w:val="0"/>
          <w:caps w:val="0"/>
          <w:color w:val="333333"/>
          <w:spacing w:val="8"/>
          <w:sz w:val="28"/>
          <w:szCs w:val="28"/>
          <w:shd w:val="clear" w:fill="FFFFFF"/>
          <w:lang w:val="en-US" w:eastAsia="zh-CN"/>
        </w:rPr>
        <w:t>内蒙古自治区</w:t>
      </w:r>
      <w:r>
        <w:rPr>
          <w:rFonts w:hint="eastAsia" w:ascii="宋体" w:hAnsi="宋体" w:eastAsia="宋体" w:cs="宋体"/>
          <w:b w:val="0"/>
          <w:i w:val="0"/>
          <w:caps w:val="0"/>
          <w:color w:val="333333"/>
          <w:spacing w:val="8"/>
          <w:sz w:val="28"/>
          <w:szCs w:val="28"/>
          <w:shd w:val="clear" w:fill="FFFFFF"/>
        </w:rPr>
        <w:t>内所有拍卖企业和员工。主要内容包括线下拍卖活动风险评估、拍卖场所防控措施、线上拍卖活动开展、工作人员防控措施、访客防控措施和应急处置措施等六项。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二、线下拍卖活动风险评估</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33375" cy="276225"/>
            <wp:effectExtent l="0" t="0" r="9525" b="9525"/>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5"/>
                    <a:stretch>
                      <a:fillRect/>
                    </a:stretch>
                  </pic:blipFill>
                  <pic:spPr>
                    <a:xfrm>
                      <a:off x="0" y="0"/>
                      <a:ext cx="333375" cy="276225"/>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w:t>
      </w:r>
      <w:r>
        <w:rPr>
          <w:rFonts w:hint="eastAsia" w:ascii="宋体" w:hAnsi="宋体" w:eastAsia="宋体" w:cs="宋体"/>
          <w:b w:val="0"/>
          <w:i w:val="0"/>
          <w:caps w:val="0"/>
          <w:color w:val="333333"/>
          <w:spacing w:val="8"/>
          <w:sz w:val="28"/>
          <w:szCs w:val="28"/>
          <w:shd w:val="clear" w:fill="FFFFFF"/>
          <w:lang w:val="en-US" w:eastAsia="zh-CN"/>
        </w:rPr>
        <w:t>内蒙古自治区</w:t>
      </w:r>
      <w:r>
        <w:rPr>
          <w:rFonts w:hint="eastAsia" w:ascii="宋体" w:hAnsi="宋体" w:eastAsia="宋体" w:cs="宋体"/>
          <w:b w:val="0"/>
          <w:i w:val="0"/>
          <w:caps w:val="0"/>
          <w:color w:val="333333"/>
          <w:spacing w:val="8"/>
          <w:sz w:val="28"/>
          <w:szCs w:val="28"/>
          <w:shd w:val="clear" w:fill="FFFFFF"/>
        </w:rPr>
        <w:t>拍卖企业要严格按照</w:t>
      </w:r>
      <w:r>
        <w:rPr>
          <w:rFonts w:hint="eastAsia" w:ascii="宋体" w:hAnsi="宋体" w:eastAsia="宋体" w:cs="宋体"/>
          <w:b w:val="0"/>
          <w:i w:val="0"/>
          <w:caps w:val="0"/>
          <w:color w:val="333333"/>
          <w:spacing w:val="8"/>
          <w:sz w:val="28"/>
          <w:szCs w:val="28"/>
          <w:shd w:val="clear" w:fill="FFFFFF"/>
          <w:lang w:val="en-US" w:eastAsia="zh-CN"/>
        </w:rPr>
        <w:t>自治区</w:t>
      </w:r>
      <w:r>
        <w:rPr>
          <w:rFonts w:hint="eastAsia" w:ascii="宋体" w:hAnsi="宋体" w:eastAsia="宋体" w:cs="宋体"/>
          <w:b w:val="0"/>
          <w:i w:val="0"/>
          <w:caps w:val="0"/>
          <w:color w:val="333333"/>
          <w:spacing w:val="8"/>
          <w:sz w:val="28"/>
          <w:szCs w:val="28"/>
          <w:shd w:val="clear" w:fill="FFFFFF"/>
        </w:rPr>
        <w:t>政府疫情防控要求，继续加强全球疫情信息收集与分析，做好相关风险评估研判工作。按照政策要求，春节前后尽量减少举办线下拍卖活动，举办会议、聚会等活动应当控制人数。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（三）鼓励举办线上会议或视频会议，50人以上活动应当制定防控方案和应急处置方案，做好应急演练，严格落实有关防控措施。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（四）各拍卖企业应成立疫情防控工作小组，做好信息采集工作，建立报备制度。疫情防控工作小组应由企业第一负责人或指定专人全面负责，设计有效的应对工作流程。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五）各拍卖企业对确需举办的200人以下的线下活动，须报属地疫情防控指挥部同意，并按照“谁举办、谁负责，谁组织、谁负责”的原则落实疫情防控主体责任，要尽量压缩规模、控制人数，严格落实核酸检测、扫码测温、佩戴口罩、场所消毒等防控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三、拍卖场所防控措施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33375" cy="276225"/>
            <wp:effectExtent l="0" t="0" r="9525" b="9525"/>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5"/>
                    <a:stretch>
                      <a:fillRect/>
                    </a:stretch>
                  </pic:blipFill>
                  <pic:spPr>
                    <a:xfrm>
                      <a:off x="0" y="0"/>
                      <a:ext cx="333375" cy="276225"/>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（六）拍卖会场应选择空间开阔、空气畅通的场所。合理布置会场。会场内座位前后、左右均应保持1米以上距离。开拍前后应整场消毒到位。保持会场整洁，及时清理垃圾。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（七）合理控制时长，减少人员聚集。必要时减少单场标的数量，分期、分次举办。</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（八）做好口罩、洗手液、消毒剂等防疫物资储备，建立工作人员健康监测制度，如出现可疑症状应及时就医。对进入会场的重点人群定期进行核酸检测。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（九）公用卫生间要配备足够的洗手液，保证水龙头等供水设施正常工作；有条件时可在大堂、电梯口、前台等处配备速干手消毒剂或感应式手消毒设备。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（十）通过海报、电子屏和宣传栏等加强新冠肺炎防控知识宣传。会场全程摄像，确保后期配合有关部门的疫情防控追踪调查。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（十一）拍卖师主持拍卖会时应宣布现场须遵守的疫情防控特别要求，并对拍卖会过程中出现的人员聚集、不戴口罩等情形予以提醒。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四、线上拍卖活动开展</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33375" cy="276225"/>
            <wp:effectExtent l="0" t="0" r="9525" b="952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5"/>
                    <a:stretch>
                      <a:fillRect/>
                    </a:stretch>
                  </pic:blipFill>
                  <pic:spPr>
                    <a:xfrm>
                      <a:off x="0" y="0"/>
                      <a:ext cx="333375" cy="276225"/>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二）建议采用线上形式开展拍品征集和查验活动，确定委托意向后再行约定交付时间和方式。交付方式尽量采用物流或邮递渠道，确需当面交付的，需做好防范措施，减少人员聚集，并第一时间对标的进行消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（十三）《委托拍卖合同》可通过网络传输形式进行签署。纸质合同亦宜通过邮递进行寄送。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（十四）采取互联网形式发布拍卖公告的，应注意选择具有媒体资质的互联网（如中拍平台链接的中国商网等）。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五）建议拍卖标的展示采取网上方式。可尝试以线上直播等远程、交互方式展示标的，满足标的查看需求。在防护措施有保障的前提下，可同时提供拍卖标的现场查看服务。现场查看应划分预约时段，避免人员聚集；接待客户前应做好情况询问、体温测量和登记等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（十六）适宜网络拍卖的标的，应与委托方做好沟通，首选采用网络进行拍卖。网络拍卖可通过自建平台或第三方平台开展，具体操作规范可参照国家标准《网络拍卖规程GB/T32674-2016》进行。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（十七）提倡采用线上结算。拍品交割宜选择物流、邮递方式发货。发货时应附《拍品交付确认单》并要求买受人签字寄回或拍照/扫描回复。确需当面交割的，应做好防范措施。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五、工作人员防控措施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04800" cy="304800"/>
            <wp:effectExtent l="0" t="0" r="0" b="0"/>
            <wp:docPr id="8"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61"/>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（十八）严格遵守企业所属地政府疫情防控要求，做好上岗员工的信息登记、健康监测以及分类造册等工作。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（十九）加强员工上班前身体状况排查，员工每天进入经营场所前，应检测体温，并进行洗手消毒。上班期间应佩带口罩，与他人保持安全距离，做到勤洗手、勤消毒。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（二十）加强员工的培训，确保员工掌握个人及客户服务的疫情防控程序及要求。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（二十一）员工外出办公应避免到人群聚集尤其是空气流动性差的场所，减少不必要的外出。在人群较为密集的公共场所，正确佩戴口罩。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（二十二）在岗期间注意身体状况，当出现发热、乏力、干咳等症状时，要及时按规定去定点医院就医，尽量避免乘坐公交、地铁等公共交通工具，前往医院路上和在医院内应当全程佩戴医用口罩。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六、访客防控措施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04800" cy="304800"/>
            <wp:effectExtent l="0" t="0" r="0" b="0"/>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（二十三）客户进入工作（会议）场所前应进行必要询问。包括查验健康码、询问其是否有疫区经历，是否存在的发热、咳嗽、乏力等疑似症状。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（二十四）客户进入工作（会议）场所前应进行体温检测，体温超过37.3度的，应要求离开并提示就医检查。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（二十五）做好来访客户的姓名、体温、手机号及询问情况的信息登记。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（二十六）来访人员应安排在与办公区独立的接待区接待，用一次性杯子、戴口罩、不握手。必要时，对进入客流采取限流措施，确保安全距离。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（二十七）访客来访结束后，由工作人员送至公司（会场）门口，不得长时间逗留；访客使用过的会议室、物品应及时消毒。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sz w:val="28"/>
          <w:szCs w:val="28"/>
        </w:rPr>
      </w:pPr>
      <w:r>
        <w:rPr>
          <w:rStyle w:val="9"/>
          <w:rFonts w:hint="eastAsia" w:ascii="宋体" w:hAnsi="宋体" w:eastAsia="宋体" w:cs="宋体"/>
          <w:i w:val="0"/>
          <w:caps w:val="0"/>
          <w:color w:val="333333"/>
          <w:spacing w:val="8"/>
          <w:kern w:val="0"/>
          <w:sz w:val="28"/>
          <w:szCs w:val="28"/>
          <w:shd w:val="clear" w:fill="FFFFFF"/>
          <w:lang w:val="en-US" w:eastAsia="zh-CN" w:bidi="ar"/>
        </w:rPr>
        <w:t>七、应急处置措施</w:t>
      </w:r>
      <w:r>
        <w:rPr>
          <w:rFonts w:hint="eastAsia" w:ascii="宋体" w:hAnsi="宋体" w:eastAsia="宋体" w:cs="宋体"/>
          <w:b w:val="0"/>
          <w:i w:val="0"/>
          <w:caps w:val="0"/>
          <w:color w:val="333333"/>
          <w:spacing w:val="8"/>
          <w:kern w:val="0"/>
          <w:sz w:val="28"/>
          <w:szCs w:val="28"/>
          <w:shd w:val="clear" w:fill="FFFFFF"/>
          <w:lang w:val="en-US" w:eastAsia="zh-CN" w:bidi="ar"/>
        </w:rPr>
        <w:drawing>
          <wp:inline distT="0" distB="0" distL="114300" distR="114300">
            <wp:extent cx="304800" cy="304800"/>
            <wp:effectExtent l="0" t="0" r="0" b="0"/>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（二十八）各拍卖企业应成立疫情防控工作领导小组，明确疫情防控要点和工作程序，对相关人员进行培训，责任落实到人。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 成立疫情应急处置管理办公室，全面负责企业疫情防控工作，拟定修改企业疫情防控方案和应急预案，组织疫情事件应急演练，监督检查各部门防控工作落实情况。对突发疫情事件进行决策，调动各应急处置力量和物资，及时掌握突发事件的发展态势，全面指挥应急处置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二十九）当发现疫情时，发现人或疑似病员本人应立即将疫情发生的情况（包括时间、地点、人员、症状、人员数量等）报告疫情应急处置管理办公室，拍卖企业第一时间启动应急预案，将疫情信息第一时间报所在街道办事处和区疾控中心，按照工作流程将疑似人员转运到定点医疗机构进行诊治，立即封锁相关区域，对疑似病例密切接触者进行彻底排查，对相关场所进行彻底消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sz w:val="28"/>
          <w:szCs w:val="28"/>
        </w:rPr>
      </w:pPr>
      <w:r>
        <w:rPr>
          <w:rFonts w:hint="eastAsia" w:ascii="宋体" w:hAnsi="宋体" w:eastAsia="宋体" w:cs="宋体"/>
          <w:b w:val="0"/>
          <w:i w:val="0"/>
          <w:caps w:val="0"/>
          <w:color w:val="333333"/>
          <w:spacing w:val="8"/>
          <w:sz w:val="28"/>
          <w:szCs w:val="28"/>
          <w:shd w:val="clear" w:fill="FFFFFF"/>
        </w:rPr>
        <w:t>（三十）突发疫情处置结束，应急处置管理办公室收集、整理应急处置工作记录、方案、文件等资料，组织各部门对应急处置过程和应急处置保障等工作进行总结和评估，提出改进意见和建议，并将总结评估报告报上级主管部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both"/>
        <w:textAlignment w:val="auto"/>
        <w:rPr>
          <w:rFonts w:hint="eastAsia" w:ascii="宋体" w:hAnsi="宋体" w:eastAsia="宋体" w:cs="宋体"/>
          <w:b w:val="0"/>
          <w:i w:val="0"/>
          <w:caps w:val="0"/>
          <w:color w:val="333333"/>
          <w:spacing w:val="8"/>
          <w:sz w:val="28"/>
          <w:szCs w:val="28"/>
          <w:shd w:val="clear" w:fill="FFFFFF"/>
        </w:rPr>
      </w:pPr>
      <w:r>
        <w:rPr>
          <w:rFonts w:hint="eastAsia" w:ascii="宋体" w:hAnsi="宋体" w:eastAsia="宋体" w:cs="宋体"/>
          <w:b w:val="0"/>
          <w:i w:val="0"/>
          <w:caps w:val="0"/>
          <w:color w:val="333333"/>
          <w:spacing w:val="8"/>
          <w:sz w:val="28"/>
          <w:szCs w:val="28"/>
          <w:shd w:val="clear" w:fill="FFFFFF"/>
        </w:rPr>
        <w:t>（三十一）各拍卖企业要严格按照国务院联防联控机制和本地区疫情防控总体要求，结合文件《新型冠状病毒肺炎防控方案(第七版)》，扎实做好新型冠状病毒感染肺炎防控工作，全力保障好员工健康安全，确保企业营运正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right"/>
        <w:textAlignment w:val="auto"/>
        <w:rPr>
          <w:rFonts w:hint="eastAsia" w:ascii="宋体" w:hAnsi="宋体" w:eastAsia="宋体" w:cs="宋体"/>
          <w:b w:val="0"/>
          <w:i w:val="0"/>
          <w:caps w:val="0"/>
          <w:color w:val="333333"/>
          <w:spacing w:val="8"/>
          <w:sz w:val="28"/>
          <w:szCs w:val="28"/>
          <w:shd w:val="clear" w:fill="FFFFFF"/>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240" w:lineRule="auto"/>
        <w:ind w:left="0" w:right="0" w:firstLine="420"/>
        <w:jc w:val="right"/>
        <w:textAlignment w:val="auto"/>
        <w:rPr>
          <w:rFonts w:hint="eastAsia" w:ascii="宋体" w:hAnsi="宋体" w:eastAsia="宋体" w:cs="宋体"/>
          <w:b w:val="0"/>
          <w:i w:val="0"/>
          <w:caps w:val="0"/>
          <w:color w:val="333333"/>
          <w:spacing w:val="8"/>
          <w:sz w:val="28"/>
          <w:szCs w:val="28"/>
          <w:shd w:val="clear" w:fill="FFFFFF"/>
          <w:lang w:val="en-US" w:eastAsia="zh-CN"/>
        </w:rPr>
      </w:pPr>
      <w:r>
        <w:rPr>
          <w:rFonts w:hint="eastAsia" w:ascii="宋体" w:hAnsi="宋体" w:eastAsia="宋体" w:cs="宋体"/>
          <w:b w:val="0"/>
          <w:i w:val="0"/>
          <w:caps w:val="0"/>
          <w:color w:val="333333"/>
          <w:spacing w:val="8"/>
          <w:sz w:val="28"/>
          <w:szCs w:val="28"/>
          <w:shd w:val="clear" w:fill="FFFFFF"/>
          <w:lang w:val="en-US" w:eastAsia="zh-CN"/>
        </w:rPr>
        <w:t>内蒙古拍卖行业协会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226" w:afterAutospacing="0" w:line="500" w:lineRule="exact"/>
        <w:ind w:left="0" w:right="0" w:firstLine="420"/>
        <w:jc w:val="right"/>
        <w:textAlignment w:val="auto"/>
        <w:rPr>
          <w:rFonts w:hint="default" w:ascii="宋体" w:hAnsi="宋体" w:eastAsia="宋体" w:cs="宋体"/>
          <w:b w:val="0"/>
          <w:i w:val="0"/>
          <w:caps w:val="0"/>
          <w:color w:val="333333"/>
          <w:spacing w:val="8"/>
          <w:sz w:val="28"/>
          <w:szCs w:val="28"/>
          <w:shd w:val="clear" w:fill="FFFFFF"/>
          <w:lang w:val="en-US" w:eastAsia="zh-CN"/>
        </w:rPr>
      </w:pPr>
      <w:r>
        <w:rPr>
          <w:rFonts w:hint="eastAsia" w:ascii="宋体" w:hAnsi="宋体" w:eastAsia="宋体" w:cs="宋体"/>
          <w:b w:val="0"/>
          <w:i w:val="0"/>
          <w:caps w:val="0"/>
          <w:color w:val="333333"/>
          <w:spacing w:val="8"/>
          <w:sz w:val="28"/>
          <w:szCs w:val="28"/>
          <w:shd w:val="clear" w:fill="FFFFFF"/>
          <w:lang w:val="en-US" w:eastAsia="zh-CN"/>
        </w:rPr>
        <w:t>2021年1月26日</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关于拍卖师变更注册单位的说明</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依照《关于加强拍卖师监督管理的规定》和中国拍卖行业协会（以下简称中拍协）对拍卖师管理的要求，拍卖师变更注册单位应提交相关材料并遵照相应程序，具体要求如下：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w:t>
      </w:r>
      <w:r>
        <w:rPr>
          <w:rFonts w:hint="eastAsia" w:ascii="宋体" w:hAnsi="宋体" w:eastAsia="宋体" w:cs="宋体"/>
          <w:b/>
          <w:bCs/>
          <w:i w:val="0"/>
          <w:iCs w:val="0"/>
          <w:caps w:val="0"/>
          <w:color w:val="333333"/>
          <w:spacing w:val="0"/>
          <w:kern w:val="0"/>
          <w:sz w:val="28"/>
          <w:szCs w:val="28"/>
          <w:u w:val="none"/>
          <w:lang w:val="en-US" w:eastAsia="zh-CN" w:bidi="ar"/>
        </w:rPr>
        <w:t>一、应准备的材料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（一）《拍卖师变更注册申请表》（2021版）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1、《拍卖师变更注册申请表》（2021版）可在中拍协网站首页下方“资料下载”板块中下载；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2、拍卖师本人应认真、如实填写个人信息和调出、调入企业相关信息（除签字外其余信息一律机打，不可手填）；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3、调出、调入企业如有经办人，应准确填写经办人联系方式，以便审核人员核实情况；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4、《拍卖师变更注册申请表》须有拍卖师本人签署名字和日期；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5、调出、调入企业负责人须在《拍卖师变更注册申请表》相应位置签署名字和日期，并加盖本企业公章(调出企业无法盖章的，应提供相关证明材料）；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6、拍卖师变更注册到已取得《拍卖经营批准证书》的企业，无需调出、调入省（区、市）拍卖行业协会盖章；拍卖师变更注册到未取得《拍卖经营批准证书》的企业，需要调出、调入省（区、市）拍卖行业协会盖章并签署经办人名字和日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（二）拍卖师证书原件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（三）拍卖师身份证个人信息面和国徽面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（四）拍卖师与调出企业签订的劳动合同（与调出企业劳动合同未到期的，应提供与调出企业签署的解除劳动合同的协议，复印件需加盖公章）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（五）拍卖师与调入企业签订的劳动合同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（六）拍卖师本人手持当日报纸的正面照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注：以上（一）至（六）项材料扫描件（照片）要求彩色清晰、方向正确、四角对齐，不符合要求不予受理。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w:t>
      </w:r>
      <w:r>
        <w:rPr>
          <w:rFonts w:hint="eastAsia" w:ascii="宋体" w:hAnsi="宋体" w:eastAsia="宋体" w:cs="宋体"/>
          <w:b/>
          <w:bCs/>
          <w:i w:val="0"/>
          <w:iCs w:val="0"/>
          <w:caps w:val="0"/>
          <w:color w:val="333333"/>
          <w:spacing w:val="0"/>
          <w:kern w:val="0"/>
          <w:sz w:val="28"/>
          <w:szCs w:val="28"/>
          <w:u w:val="none"/>
          <w:lang w:val="en-US" w:eastAsia="zh-CN" w:bidi="ar"/>
        </w:rPr>
        <w:t>二、变更注册基本流程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（一）拍卖师应本人使用拍卖师管理号和密码登录中拍协网站“用户中心”，申请变更注册，认真填写个人信息，按要求上传相关资料；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（二）拍卖师变更注册到已取得《拍卖经营批准证书》的企业，调出、调入省（区、市）拍卖行业协会线上审核、中拍协审核；拍卖师变更注册到未取得《拍卖经营批准证书》的企业，中拍协直接审核；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（三）中拍协审核通过后，拍卖师注册变更完成，可打印《执业注册记录卡》。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kern w:val="0"/>
          <w:sz w:val="28"/>
          <w:szCs w:val="28"/>
          <w:u w:val="none"/>
          <w:lang w:val="en-US" w:eastAsia="zh-CN" w:bidi="ar"/>
        </w:rPr>
      </w:pPr>
      <w:r>
        <w:rPr>
          <w:rFonts w:hint="eastAsia" w:ascii="宋体" w:hAnsi="宋体" w:eastAsia="宋体" w:cs="宋体"/>
          <w:i w:val="0"/>
          <w:iCs w:val="0"/>
          <w:caps w:val="0"/>
          <w:color w:val="333333"/>
          <w:spacing w:val="0"/>
          <w:kern w:val="0"/>
          <w:sz w:val="28"/>
          <w:szCs w:val="28"/>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xml:space="preserve">                                  中拍协拍卖师管理部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xml:space="preserve">    2021年4月6日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kern w:val="2"/>
          <w:sz w:val="28"/>
          <w:szCs w:val="28"/>
          <w:lang w:val="en-US" w:eastAsia="zh-CN" w:bidi="ar"/>
        </w:rPr>
      </w:pPr>
      <w:r>
        <w:rPr>
          <w:rFonts w:hint="default" w:ascii="Helvetica" w:hAnsi="Helvetica" w:eastAsia="Helvetica" w:cs="Helvetica"/>
          <w:i w:val="0"/>
          <w:iCs w:val="0"/>
          <w:caps w:val="0"/>
          <w:color w:val="333333"/>
          <w:spacing w:val="0"/>
          <w:kern w:val="0"/>
          <w:sz w:val="27"/>
          <w:szCs w:val="27"/>
          <w:u w:val="none"/>
          <w:lang w:val="en-US" w:eastAsia="zh-CN" w:bidi="ar"/>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1441" w:firstLineChars="400"/>
        <w:jc w:val="both"/>
        <w:rPr>
          <w:rFonts w:ascii="Helvetica" w:hAnsi="Helvetica" w:eastAsia="Helvetica" w:cs="Helvetica"/>
          <w:b/>
          <w:bCs/>
          <w:i w:val="0"/>
          <w:iCs w:val="0"/>
          <w:caps w:val="0"/>
          <w:color w:val="333333"/>
          <w:spacing w:val="0"/>
          <w:sz w:val="36"/>
          <w:szCs w:val="36"/>
          <w:u w:val="none"/>
        </w:rPr>
      </w:pPr>
      <w:r>
        <w:rPr>
          <w:rFonts w:ascii="Helvetica" w:hAnsi="Helvetica" w:eastAsia="Helvetica" w:cs="Helvetica"/>
          <w:b/>
          <w:bCs/>
          <w:i w:val="0"/>
          <w:iCs w:val="0"/>
          <w:caps w:val="0"/>
          <w:color w:val="333333"/>
          <w:spacing w:val="0"/>
          <w:sz w:val="36"/>
          <w:szCs w:val="36"/>
          <w:u w:val="none"/>
        </w:rPr>
        <w:t>关于转发并做好《罚没财物管理办法》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i w:val="0"/>
          <w:iCs w:val="0"/>
          <w:caps w:val="0"/>
          <w:color w:val="333333"/>
          <w:spacing w:val="0"/>
          <w:sz w:val="21"/>
          <w:szCs w:val="21"/>
          <w:u w:val="none"/>
        </w:rPr>
      </w:pPr>
      <w:r>
        <w:rPr>
          <w:rFonts w:ascii="Helvetica" w:hAnsi="Helvetica" w:eastAsia="Helvetica" w:cs="Helvetica"/>
          <w:b/>
          <w:bCs/>
          <w:i w:val="0"/>
          <w:iCs w:val="0"/>
          <w:caps w:val="0"/>
          <w:color w:val="333333"/>
          <w:spacing w:val="0"/>
          <w:sz w:val="36"/>
          <w:szCs w:val="36"/>
          <w:u w:val="none"/>
        </w:rPr>
        <w:t>有关工作的通知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iCs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各省（区、市）拍卖行业协会、各拍卖企业及有关单位：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财政部于2020年12月17日印发《关于印发&lt;罚没财物管理办法&gt;的通知》（财税〔2020〕54号，以下称《通知》）。《罚没财物管理办法》（以下称《办法》）在重申罚没财物拍卖应委托拍卖的同时，对罚没财物的范围、罚没财物处置的原则及程序等做了规定，对拍卖行业配合相关部门做好罚没财物处置工作具有重要意义。为配合各相关部门切实做好罚没财物处置工作，进一步提高拍卖服务质量和水平，现转发该《通知》（见附件），并就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2"/>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一、各省（区、市）拍卖行业协会要迅速开展专项工作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1、各省（区、市）拍卖行业协会要以文件转发、集中学习、线上交流等方式深入组织开展学习活动，确保拍卖企业管理者、从业者都能全面理解、正确领会《办法》精神，切实增强罚没财物处置工作中拍卖行业的服务规范意识、责任意识，依法依规开展罚没财物拍卖业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2、各省（区、市）拍卖行业协会要迅速与当地财政部门进行沟通，了解财政部门目前在罚没财物处置工作中的情况，了解在罚没财物处置工作中的需求以及对拍卖行业所提出的意见建议等。积极向财政部门推荐中拍网、公拍网两大行业内专业拍卖平台及各地优秀拍卖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3、为推进《通知》的贯彻实施，各省（区、市）拍卖行业协会要积极开展以下摸底调查工作。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各省（区、市）拍卖行业协会要对照《办法》明确的罚没财物范畴，开展好本地区财政罚没财物处置情况的摸底调查，做到八个理清：一是本地现行相关政策法规情况；二是标的来源、规模；三是罚没财物拍卖资质取得方式；四是处置方式和处置渠道；五是委托方式;六是采用的线上拍卖平台情况；七是企业开展业务情况（佣金水平、保管费用等）；八是摸清业务开展中的主要矛盾和主要问题。请各协会迅速开展摸底调研工作，在2月底前对这八个方面完成情况汇总，并将有关材料报送中拍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4、各省（区、市）拍卖行业协会要及时制订罚没财物拍卖业务相关自律规范或自律公约，禁止在佣金等方面恶性竞争，扰乱市场秩序的行为，树立好行业专业、规范、自律的形象。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5、各省（区、市）拍卖行业协会要及时总结经验、汇报优秀案例、做好案例推广和宣传。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105" w:right="0" w:firstLine="452"/>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二、 拍卖企业要细化服务要求，提高服务质量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拍卖企业要在认真学习《办法》的基础上进一步将《办法》提出的原则要求细化到具体的服务流程和工作守则中，用好中拍网、公拍网平台的管理工具，提高罚没财物拍卖业务的技术竞争力，确保业务合规、高效开展，切实改进提高服务质量和管理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1322" w:right="0" w:hanging="72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三、网络拍卖平台要提高技术水平，做好业务保障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在当前疫情防控常态化的背景下，行业网络拍卖平台要进一步优化服务功能，提高在线客户服务水平，保障资金安全，确保罚没财物拍卖的高效安全，为继续拓展新的拍卖服务领域做好保障。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2"/>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四、组织工作专班，做好协调工作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请各省市协会接通知后要组织工作专班，加快推进本地区的政策落地工作，落实专项工作的负责部门和责任人并报中拍协秘书处，形成拍卖行业专项工作体系。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附：《关于印发&lt;罚没财物管理办法&gt;的通知》（财税〔2020〕54号）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1600"/>
        <w:jc w:val="lef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iCs w:val="0"/>
          <w:caps w:val="0"/>
          <w:color w:val="333333"/>
          <w:spacing w:val="0"/>
          <w:sz w:val="28"/>
          <w:szCs w:val="28"/>
          <w:u w:val="none"/>
        </w:rPr>
      </w:pPr>
      <w:r>
        <w:rPr>
          <w:rFonts w:hint="eastAsia" w:ascii="宋体" w:hAnsi="宋体" w:eastAsia="宋体" w:cs="宋体"/>
          <w:i w:val="0"/>
          <w:iCs w:val="0"/>
          <w:caps w:val="0"/>
          <w:color w:val="333333"/>
          <w:spacing w:val="0"/>
          <w:kern w:val="0"/>
          <w:sz w:val="28"/>
          <w:szCs w:val="28"/>
          <w:u w:val="none"/>
          <w:lang w:val="en-US" w:eastAsia="zh-CN" w:bidi="ar"/>
        </w:rPr>
        <w:t>二〇二一年一月二十一日</w:t>
      </w:r>
    </w:p>
    <w:p>
      <w:pPr>
        <w:widowControl/>
        <w:outlineLvl w:val="1"/>
        <w:rPr>
          <w:rFonts w:ascii="仿宋" w:hAnsi="仿宋" w:eastAsia="仿宋" w:cs="Helvetica"/>
          <w:bCs/>
          <w:kern w:val="0"/>
          <w:sz w:val="28"/>
          <w:szCs w:val="28"/>
        </w:rPr>
      </w:pPr>
      <w:r>
        <w:rPr>
          <w:rFonts w:hint="eastAsia" w:ascii="仿宋" w:hAnsi="仿宋" w:eastAsia="仿宋" w:cs="Helvetica"/>
          <w:bCs/>
          <w:kern w:val="0"/>
          <w:sz w:val="28"/>
          <w:szCs w:val="28"/>
        </w:rPr>
        <w:t>附件:</w:t>
      </w:r>
    </w:p>
    <w:p>
      <w:pPr>
        <w:widowControl/>
        <w:jc w:val="center"/>
        <w:outlineLvl w:val="1"/>
        <w:rPr>
          <w:rFonts w:cs="Helvetica" w:asciiTheme="minorEastAsia" w:hAnsiTheme="minorEastAsia"/>
          <w:b/>
          <w:bCs/>
          <w:kern w:val="0"/>
          <w:sz w:val="36"/>
          <w:szCs w:val="36"/>
        </w:rPr>
      </w:pPr>
      <w:r>
        <w:rPr>
          <w:rFonts w:cs="Helvetica" w:asciiTheme="minorEastAsia" w:hAnsiTheme="minorEastAsia"/>
          <w:b/>
          <w:bCs/>
          <w:kern w:val="0"/>
          <w:sz w:val="36"/>
          <w:szCs w:val="36"/>
        </w:rPr>
        <w:t>关于印发《罚没财物管理办法》的通知</w:t>
      </w:r>
    </w:p>
    <w:p>
      <w:pPr>
        <w:widowControl/>
        <w:jc w:val="center"/>
        <w:rPr>
          <w:rFonts w:ascii="仿宋" w:hAnsi="仿宋" w:eastAsia="仿宋" w:cs="Helvetica"/>
          <w:kern w:val="0"/>
          <w:sz w:val="28"/>
          <w:szCs w:val="28"/>
        </w:rPr>
      </w:pPr>
      <w:r>
        <w:rPr>
          <w:rFonts w:ascii="仿宋" w:hAnsi="仿宋" w:eastAsia="仿宋" w:cs="Helvetica"/>
          <w:kern w:val="0"/>
          <w:sz w:val="28"/>
          <w:szCs w:val="28"/>
        </w:rPr>
        <w:t>财税〔2020〕54号</w:t>
      </w:r>
    </w:p>
    <w:p>
      <w:pPr>
        <w:widowControl/>
        <w:rPr>
          <w:rFonts w:ascii="仿宋" w:hAnsi="仿宋" w:eastAsia="仿宋" w:cs="Helvetica"/>
          <w:kern w:val="0"/>
          <w:sz w:val="28"/>
          <w:szCs w:val="28"/>
        </w:rPr>
      </w:pPr>
      <w:r>
        <w:rPr>
          <w:rFonts w:ascii="仿宋" w:hAnsi="仿宋" w:eastAsia="仿宋" w:cs="Helvetica"/>
          <w:kern w:val="0"/>
          <w:sz w:val="28"/>
          <w:szCs w:val="28"/>
        </w:rPr>
        <w:t>党中央有关部门，国务院各部委、各直属机构，最高人民法院、最高人民检察院、国家监委，各省、自治区、直辖市、计划单列市财政厅（局），新疆生产建设兵团财政局，财政部各地监管局：</w:t>
      </w:r>
    </w:p>
    <w:p>
      <w:pPr>
        <w:widowControl/>
        <w:rPr>
          <w:rFonts w:ascii="仿宋" w:hAnsi="仿宋" w:eastAsia="仿宋" w:cs="Helvetica"/>
          <w:kern w:val="0"/>
          <w:sz w:val="28"/>
          <w:szCs w:val="28"/>
        </w:rPr>
      </w:pPr>
      <w:r>
        <w:rPr>
          <w:rFonts w:ascii="仿宋" w:hAnsi="仿宋" w:eastAsia="仿宋" w:cs="Helvetica"/>
          <w:kern w:val="0"/>
          <w:sz w:val="28"/>
          <w:szCs w:val="28"/>
        </w:rPr>
        <w:t>  为进一步规范和加强罚没财物管理，根据国家有关法律法规，结合各地区、各部门实践情况，我部制定了《罚没财物管理办法》，现印发给你们，请遵照执行。</w:t>
      </w:r>
    </w:p>
    <w:p>
      <w:pPr>
        <w:widowControl/>
        <w:rPr>
          <w:rFonts w:ascii="仿宋" w:hAnsi="仿宋" w:eastAsia="仿宋" w:cs="Helvetica"/>
          <w:kern w:val="0"/>
          <w:sz w:val="28"/>
          <w:szCs w:val="28"/>
        </w:rPr>
      </w:pPr>
      <w:r>
        <w:rPr>
          <w:rFonts w:ascii="仿宋" w:hAnsi="仿宋" w:eastAsia="仿宋" w:cs="Helvetica"/>
          <w:kern w:val="0"/>
          <w:sz w:val="28"/>
          <w:szCs w:val="28"/>
        </w:rPr>
        <w:t>  </w:t>
      </w:r>
    </w:p>
    <w:p>
      <w:pPr>
        <w:widowControl/>
        <w:rPr>
          <w:rFonts w:ascii="仿宋" w:hAnsi="仿宋" w:eastAsia="仿宋" w:cs="Helvetica"/>
          <w:kern w:val="0"/>
          <w:sz w:val="28"/>
          <w:szCs w:val="28"/>
        </w:rPr>
      </w:pPr>
      <w:r>
        <w:rPr>
          <w:rFonts w:ascii="仿宋" w:hAnsi="仿宋" w:eastAsia="仿宋" w:cs="Helvetica"/>
          <w:kern w:val="0"/>
          <w:sz w:val="28"/>
          <w:szCs w:val="28"/>
        </w:rPr>
        <w:t>附件：罚没财物管理办法</w:t>
      </w:r>
    </w:p>
    <w:p>
      <w:pPr>
        <w:widowControl/>
        <w:jc w:val="right"/>
        <w:rPr>
          <w:rFonts w:ascii="仿宋" w:hAnsi="仿宋" w:eastAsia="仿宋" w:cs="Helvetica"/>
          <w:kern w:val="0"/>
          <w:sz w:val="28"/>
          <w:szCs w:val="28"/>
        </w:rPr>
      </w:pPr>
      <w:r>
        <w:rPr>
          <w:rFonts w:ascii="仿宋" w:hAnsi="仿宋" w:eastAsia="仿宋" w:cs="Helvetica"/>
          <w:kern w:val="0"/>
          <w:sz w:val="28"/>
          <w:szCs w:val="28"/>
        </w:rPr>
        <w:t> 财 政 部</w:t>
      </w:r>
    </w:p>
    <w:p>
      <w:pPr>
        <w:widowControl/>
        <w:jc w:val="right"/>
        <w:rPr>
          <w:rFonts w:ascii="仿宋" w:hAnsi="仿宋" w:eastAsia="仿宋" w:cs="Helvetica"/>
          <w:kern w:val="0"/>
          <w:sz w:val="28"/>
          <w:szCs w:val="28"/>
        </w:rPr>
      </w:pPr>
      <w:r>
        <w:rPr>
          <w:rFonts w:ascii="仿宋" w:hAnsi="仿宋" w:eastAsia="仿宋" w:cs="Helvetica"/>
          <w:kern w:val="0"/>
          <w:sz w:val="28"/>
          <w:szCs w:val="28"/>
        </w:rPr>
        <w:t>  2020年12月17日</w:t>
      </w:r>
    </w:p>
    <w:p>
      <w:pPr>
        <w:widowControl/>
        <w:rPr>
          <w:rFonts w:ascii="仿宋" w:hAnsi="仿宋" w:eastAsia="仿宋" w:cs="Helvetica"/>
          <w:kern w:val="0"/>
          <w:sz w:val="28"/>
          <w:szCs w:val="28"/>
        </w:rPr>
      </w:pPr>
    </w:p>
    <w:p>
      <w:pPr>
        <w:widowControl/>
        <w:jc w:val="center"/>
        <w:rPr>
          <w:rFonts w:cs="Helvetica" w:asciiTheme="minorEastAsia" w:hAnsiTheme="minorEastAsia"/>
          <w:b/>
          <w:kern w:val="0"/>
          <w:sz w:val="32"/>
          <w:szCs w:val="32"/>
        </w:rPr>
      </w:pPr>
      <w:r>
        <w:rPr>
          <w:rFonts w:cs="Helvetica" w:asciiTheme="minorEastAsia" w:hAnsiTheme="minorEastAsia"/>
          <w:b/>
          <w:kern w:val="0"/>
          <w:sz w:val="32"/>
          <w:szCs w:val="32"/>
        </w:rPr>
        <w:t>罚没财物管理办法</w:t>
      </w:r>
    </w:p>
    <w:p>
      <w:pPr>
        <w:widowControl/>
        <w:jc w:val="center"/>
        <w:rPr>
          <w:rFonts w:ascii="仿宋" w:hAnsi="仿宋" w:eastAsia="仿宋" w:cs="Helvetica"/>
          <w:kern w:val="0"/>
          <w:sz w:val="28"/>
          <w:szCs w:val="28"/>
        </w:rPr>
      </w:pPr>
      <w:r>
        <w:rPr>
          <w:rFonts w:ascii="仿宋" w:hAnsi="仿宋" w:eastAsia="仿宋" w:cs="Helvetica"/>
          <w:kern w:val="0"/>
          <w:sz w:val="28"/>
          <w:szCs w:val="28"/>
        </w:rPr>
        <w:t>第一章</w:t>
      </w:r>
      <w:r>
        <w:rPr>
          <w:rFonts w:ascii="Calibri" w:hAnsi="Calibri" w:eastAsia="仿宋" w:cs="Calibri"/>
          <w:kern w:val="0"/>
          <w:sz w:val="28"/>
          <w:szCs w:val="28"/>
        </w:rPr>
        <w:t> </w:t>
      </w:r>
      <w:r>
        <w:rPr>
          <w:rFonts w:ascii="仿宋" w:hAnsi="仿宋" w:eastAsia="仿宋" w:cs="Helvetica"/>
          <w:kern w:val="0"/>
          <w:sz w:val="28"/>
          <w:szCs w:val="28"/>
        </w:rPr>
        <w:t>总 则</w:t>
      </w:r>
    </w:p>
    <w:p>
      <w:pPr>
        <w:widowControl/>
        <w:rPr>
          <w:rFonts w:ascii="仿宋" w:hAnsi="仿宋" w:eastAsia="仿宋" w:cs="Helvetica"/>
          <w:kern w:val="0"/>
          <w:sz w:val="28"/>
          <w:szCs w:val="28"/>
        </w:rPr>
      </w:pPr>
      <w:r>
        <w:rPr>
          <w:rFonts w:ascii="仿宋" w:hAnsi="仿宋" w:eastAsia="仿宋" w:cs="Helvetica"/>
          <w:kern w:val="0"/>
          <w:sz w:val="28"/>
          <w:szCs w:val="28"/>
        </w:rPr>
        <w:t>  第一条</w:t>
      </w:r>
      <w:r>
        <w:rPr>
          <w:rFonts w:ascii="Calibri" w:hAnsi="Calibri" w:eastAsia="仿宋" w:cs="Calibri"/>
          <w:kern w:val="0"/>
          <w:sz w:val="28"/>
          <w:szCs w:val="28"/>
        </w:rPr>
        <w:t> </w:t>
      </w:r>
      <w:r>
        <w:rPr>
          <w:rFonts w:ascii="仿宋" w:hAnsi="仿宋" w:eastAsia="仿宋" w:cs="Helvetica"/>
          <w:kern w:val="0"/>
          <w:sz w:val="28"/>
          <w:szCs w:val="28"/>
        </w:rPr>
        <w:t>为规范和加强罚没财物管理，防止国家财产损失，保护自然人、法人和非法人组织的合法权益，根据《中华人民共和国预算法》、《罚款决定与罚款收缴分离实施办法》（国务院令第235号）等有关法律、行政法规规定，制定本办法。</w:t>
      </w:r>
    </w:p>
    <w:p>
      <w:pPr>
        <w:widowControl/>
        <w:rPr>
          <w:rFonts w:ascii="仿宋" w:hAnsi="仿宋" w:eastAsia="仿宋" w:cs="Helvetica"/>
          <w:kern w:val="0"/>
          <w:sz w:val="28"/>
          <w:szCs w:val="28"/>
        </w:rPr>
      </w:pPr>
      <w:r>
        <w:rPr>
          <w:rFonts w:ascii="仿宋" w:hAnsi="仿宋" w:eastAsia="仿宋" w:cs="Helvetica"/>
          <w:kern w:val="0"/>
          <w:sz w:val="28"/>
          <w:szCs w:val="28"/>
        </w:rPr>
        <w:t>  第二条</w:t>
      </w:r>
      <w:r>
        <w:rPr>
          <w:rFonts w:ascii="Calibri" w:hAnsi="Calibri" w:eastAsia="仿宋" w:cs="Calibri"/>
          <w:kern w:val="0"/>
          <w:sz w:val="28"/>
          <w:szCs w:val="28"/>
        </w:rPr>
        <w:t> </w:t>
      </w:r>
      <w:r>
        <w:rPr>
          <w:rFonts w:ascii="仿宋" w:hAnsi="仿宋" w:eastAsia="仿宋" w:cs="Helvetica"/>
          <w:kern w:val="0"/>
          <w:sz w:val="28"/>
          <w:szCs w:val="28"/>
        </w:rPr>
        <w:t>罚没财物移交、保管、处置、收入上缴、预算管理等，适用本办法。</w:t>
      </w:r>
    </w:p>
    <w:p>
      <w:pPr>
        <w:widowControl/>
        <w:rPr>
          <w:rFonts w:ascii="仿宋" w:hAnsi="仿宋" w:eastAsia="仿宋" w:cs="Helvetica"/>
          <w:kern w:val="0"/>
          <w:sz w:val="28"/>
          <w:szCs w:val="28"/>
        </w:rPr>
      </w:pPr>
      <w:r>
        <w:rPr>
          <w:rFonts w:ascii="仿宋" w:hAnsi="仿宋" w:eastAsia="仿宋" w:cs="Helvetica"/>
          <w:kern w:val="0"/>
          <w:sz w:val="28"/>
          <w:szCs w:val="28"/>
        </w:rPr>
        <w:t>  第三条</w:t>
      </w:r>
      <w:r>
        <w:rPr>
          <w:rFonts w:ascii="Calibri" w:hAnsi="Calibri" w:eastAsia="仿宋" w:cs="Calibri"/>
          <w:kern w:val="0"/>
          <w:sz w:val="28"/>
          <w:szCs w:val="28"/>
        </w:rPr>
        <w:t> </w:t>
      </w:r>
      <w:r>
        <w:rPr>
          <w:rFonts w:ascii="仿宋" w:hAnsi="仿宋" w:eastAsia="仿宋" w:cs="Helvetica"/>
          <w:kern w:val="0"/>
          <w:sz w:val="28"/>
          <w:szCs w:val="28"/>
        </w:rPr>
        <w:t>本办法所称罚没财物，是指执法机关依法对自然人、法人和非法人组织作出行政处罚决定,没收、追缴决定或者法院生效裁定、判决取得的罚款、罚金、违法所得、非法财物，没收的保证金、个人财产等，包括现金、有价票证、有价证券、动产、不动产和其他财产权利等。</w:t>
      </w:r>
    </w:p>
    <w:p>
      <w:pPr>
        <w:widowControl/>
        <w:rPr>
          <w:rFonts w:ascii="仿宋" w:hAnsi="仿宋" w:eastAsia="仿宋" w:cs="Helvetica"/>
          <w:kern w:val="0"/>
          <w:sz w:val="28"/>
          <w:szCs w:val="28"/>
        </w:rPr>
      </w:pPr>
      <w:r>
        <w:rPr>
          <w:rFonts w:ascii="仿宋" w:hAnsi="仿宋" w:eastAsia="仿宋" w:cs="Helvetica"/>
          <w:kern w:val="0"/>
          <w:sz w:val="28"/>
          <w:szCs w:val="28"/>
        </w:rPr>
        <w:t>  本办法所称执法机关，是指各级行政机关、监察机关、审判机关、检察机关，法律法规授权的具有管理公共事务职能的事业单位和组织。</w:t>
      </w:r>
    </w:p>
    <w:p>
      <w:pPr>
        <w:widowControl/>
        <w:rPr>
          <w:rFonts w:ascii="仿宋" w:hAnsi="仿宋" w:eastAsia="仿宋" w:cs="Helvetica"/>
          <w:kern w:val="0"/>
          <w:sz w:val="28"/>
          <w:szCs w:val="28"/>
        </w:rPr>
      </w:pPr>
      <w:r>
        <w:rPr>
          <w:rFonts w:ascii="仿宋" w:hAnsi="仿宋" w:eastAsia="仿宋" w:cs="Helvetica"/>
          <w:kern w:val="0"/>
          <w:sz w:val="28"/>
          <w:szCs w:val="28"/>
        </w:rPr>
        <w:t>  本办法所称罚没收入是指罚款、罚金等现金收入，罚没财物处置收入及其孳息。</w:t>
      </w:r>
    </w:p>
    <w:p>
      <w:pPr>
        <w:widowControl/>
        <w:rPr>
          <w:rFonts w:ascii="仿宋" w:hAnsi="仿宋" w:eastAsia="仿宋" w:cs="Helvetica"/>
          <w:kern w:val="0"/>
          <w:sz w:val="28"/>
          <w:szCs w:val="28"/>
        </w:rPr>
      </w:pPr>
      <w:r>
        <w:rPr>
          <w:rFonts w:ascii="仿宋" w:hAnsi="仿宋" w:eastAsia="仿宋" w:cs="Helvetica"/>
          <w:kern w:val="0"/>
          <w:sz w:val="28"/>
          <w:szCs w:val="28"/>
        </w:rPr>
        <w:t>  第四条</w:t>
      </w:r>
      <w:r>
        <w:rPr>
          <w:rFonts w:ascii="Calibri" w:hAnsi="Calibri" w:eastAsia="仿宋" w:cs="Calibri"/>
          <w:kern w:val="0"/>
          <w:sz w:val="28"/>
          <w:szCs w:val="28"/>
        </w:rPr>
        <w:t> </w:t>
      </w:r>
      <w:r>
        <w:rPr>
          <w:rFonts w:ascii="仿宋" w:hAnsi="仿宋" w:eastAsia="仿宋" w:cs="Helvetica"/>
          <w:kern w:val="0"/>
          <w:sz w:val="28"/>
          <w:szCs w:val="28"/>
        </w:rPr>
        <w:t>罚没财物管理工作应遵循罚款决定与罚款收缴相分离，执法与保管、处置岗位相分离，罚没收入与经费保障相分离的原则。</w:t>
      </w:r>
    </w:p>
    <w:p>
      <w:pPr>
        <w:widowControl/>
        <w:rPr>
          <w:rFonts w:ascii="仿宋" w:hAnsi="仿宋" w:eastAsia="仿宋" w:cs="Helvetica"/>
          <w:kern w:val="0"/>
          <w:sz w:val="28"/>
          <w:szCs w:val="28"/>
        </w:rPr>
      </w:pPr>
      <w:r>
        <w:rPr>
          <w:rFonts w:ascii="仿宋" w:hAnsi="仿宋" w:eastAsia="仿宋" w:cs="Helvetica"/>
          <w:kern w:val="0"/>
          <w:sz w:val="28"/>
          <w:szCs w:val="28"/>
        </w:rPr>
        <w:t>  第五条</w:t>
      </w:r>
      <w:r>
        <w:rPr>
          <w:rFonts w:ascii="Calibri" w:hAnsi="Calibri" w:eastAsia="仿宋" w:cs="Calibri"/>
          <w:kern w:val="0"/>
          <w:sz w:val="28"/>
          <w:szCs w:val="28"/>
        </w:rPr>
        <w:t> </w:t>
      </w:r>
      <w:r>
        <w:rPr>
          <w:rFonts w:ascii="仿宋" w:hAnsi="仿宋" w:eastAsia="仿宋" w:cs="Helvetica"/>
          <w:kern w:val="0"/>
          <w:sz w:val="28"/>
          <w:szCs w:val="28"/>
        </w:rPr>
        <w:t>财政部负责制定全国罚没财物管理制度，指导、监督各地区、各部门罚没财物管理工作。中央有关执法机关可以根据本办法，制定本系统罚没财物管理具体实施办法，指导本系统罚没财物管理工作。</w:t>
      </w:r>
    </w:p>
    <w:p>
      <w:pPr>
        <w:widowControl/>
        <w:rPr>
          <w:rFonts w:ascii="仿宋" w:hAnsi="仿宋" w:eastAsia="仿宋" w:cs="Helvetica"/>
          <w:kern w:val="0"/>
          <w:sz w:val="28"/>
          <w:szCs w:val="28"/>
        </w:rPr>
      </w:pPr>
      <w:r>
        <w:rPr>
          <w:rFonts w:ascii="仿宋" w:hAnsi="仿宋" w:eastAsia="仿宋" w:cs="Helvetica"/>
          <w:kern w:val="0"/>
          <w:sz w:val="28"/>
          <w:szCs w:val="28"/>
        </w:rPr>
        <w:t>  地方各级财政部门负责制定罚没财物管理制度，指导、监督本行政区内各有关单位的罚没财物管理工作。</w:t>
      </w:r>
    </w:p>
    <w:p>
      <w:pPr>
        <w:widowControl/>
        <w:rPr>
          <w:rFonts w:ascii="仿宋" w:hAnsi="仿宋" w:eastAsia="仿宋" w:cs="Helvetica"/>
          <w:kern w:val="0"/>
          <w:sz w:val="28"/>
          <w:szCs w:val="28"/>
        </w:rPr>
      </w:pPr>
      <w:r>
        <w:rPr>
          <w:rFonts w:ascii="仿宋" w:hAnsi="仿宋" w:eastAsia="仿宋" w:cs="Helvetica"/>
          <w:kern w:val="0"/>
          <w:sz w:val="28"/>
          <w:szCs w:val="28"/>
        </w:rPr>
        <w:t>  各级执法机关、政府公物仓等单位负责制定本单位罚没财物管理操作规范，并在本单位职责范围内对罚没财物管理履行主体责任。</w:t>
      </w:r>
    </w:p>
    <w:p>
      <w:pPr>
        <w:widowControl/>
        <w:jc w:val="center"/>
        <w:rPr>
          <w:rFonts w:ascii="仿宋" w:hAnsi="仿宋" w:eastAsia="仿宋" w:cs="Helvetica"/>
          <w:kern w:val="0"/>
          <w:sz w:val="28"/>
          <w:szCs w:val="28"/>
        </w:rPr>
      </w:pPr>
      <w:r>
        <w:rPr>
          <w:rFonts w:ascii="仿宋" w:hAnsi="仿宋" w:eastAsia="仿宋" w:cs="Helvetica"/>
          <w:kern w:val="0"/>
          <w:sz w:val="28"/>
          <w:szCs w:val="28"/>
        </w:rPr>
        <w:t>第二章</w:t>
      </w:r>
      <w:r>
        <w:rPr>
          <w:rFonts w:ascii="Calibri" w:hAnsi="Calibri" w:eastAsia="仿宋" w:cs="Calibri"/>
          <w:kern w:val="0"/>
          <w:sz w:val="28"/>
          <w:szCs w:val="28"/>
        </w:rPr>
        <w:t> </w:t>
      </w:r>
      <w:r>
        <w:rPr>
          <w:rFonts w:ascii="仿宋" w:hAnsi="仿宋" w:eastAsia="仿宋" w:cs="Helvetica"/>
          <w:kern w:val="0"/>
          <w:sz w:val="28"/>
          <w:szCs w:val="28"/>
        </w:rPr>
        <w:t>移交和保管</w:t>
      </w:r>
    </w:p>
    <w:p>
      <w:pPr>
        <w:widowControl/>
        <w:rPr>
          <w:rFonts w:ascii="仿宋" w:hAnsi="仿宋" w:eastAsia="仿宋" w:cs="Helvetica"/>
          <w:kern w:val="0"/>
          <w:sz w:val="28"/>
          <w:szCs w:val="28"/>
        </w:rPr>
      </w:pPr>
      <w:r>
        <w:rPr>
          <w:rFonts w:ascii="仿宋" w:hAnsi="仿宋" w:eastAsia="仿宋" w:cs="Helvetica"/>
          <w:kern w:val="0"/>
          <w:sz w:val="28"/>
          <w:szCs w:val="28"/>
        </w:rPr>
        <w:t>  第六条</w:t>
      </w:r>
      <w:r>
        <w:rPr>
          <w:rFonts w:ascii="Calibri" w:hAnsi="Calibri" w:eastAsia="仿宋" w:cs="Calibri"/>
          <w:kern w:val="0"/>
          <w:sz w:val="28"/>
          <w:szCs w:val="28"/>
        </w:rPr>
        <w:t> </w:t>
      </w:r>
      <w:r>
        <w:rPr>
          <w:rFonts w:ascii="仿宋" w:hAnsi="仿宋" w:eastAsia="仿宋" w:cs="Helvetica"/>
          <w:kern w:val="0"/>
          <w:sz w:val="28"/>
          <w:szCs w:val="28"/>
        </w:rPr>
        <w:t>有条件的部门和地区可以设置政府公物仓对罚没物品实行集中管理。未设置政府公物仓的，由执法机关对罚没物品进行管理。</w:t>
      </w:r>
    </w:p>
    <w:p>
      <w:pPr>
        <w:widowControl/>
        <w:rPr>
          <w:rFonts w:ascii="仿宋" w:hAnsi="仿宋" w:eastAsia="仿宋" w:cs="Helvetica"/>
          <w:kern w:val="0"/>
          <w:sz w:val="28"/>
          <w:szCs w:val="28"/>
        </w:rPr>
      </w:pPr>
      <w:r>
        <w:rPr>
          <w:rFonts w:ascii="仿宋" w:hAnsi="仿宋" w:eastAsia="仿宋" w:cs="Helvetica"/>
          <w:kern w:val="0"/>
          <w:sz w:val="28"/>
          <w:szCs w:val="28"/>
        </w:rPr>
        <w:t>  各级执法机关、政府公物仓按照安全、高效、便捷和节约的原则，使用下列罚没仓库存放保管罚没物品：</w:t>
      </w:r>
    </w:p>
    <w:p>
      <w:pPr>
        <w:widowControl/>
        <w:rPr>
          <w:rFonts w:ascii="仿宋" w:hAnsi="仿宋" w:eastAsia="仿宋" w:cs="Helvetica"/>
          <w:kern w:val="0"/>
          <w:sz w:val="28"/>
          <w:szCs w:val="28"/>
        </w:rPr>
      </w:pPr>
      <w:r>
        <w:rPr>
          <w:rFonts w:ascii="仿宋" w:hAnsi="仿宋" w:eastAsia="仿宋" w:cs="Helvetica"/>
          <w:kern w:val="0"/>
          <w:sz w:val="28"/>
          <w:szCs w:val="28"/>
        </w:rPr>
        <w:t>  （一）执法机关罚没物品保管仓库；</w:t>
      </w:r>
    </w:p>
    <w:p>
      <w:pPr>
        <w:widowControl/>
        <w:rPr>
          <w:rFonts w:ascii="仿宋" w:hAnsi="仿宋" w:eastAsia="仿宋" w:cs="Helvetica"/>
          <w:kern w:val="0"/>
          <w:sz w:val="28"/>
          <w:szCs w:val="28"/>
        </w:rPr>
      </w:pPr>
      <w:r>
        <w:rPr>
          <w:rFonts w:ascii="仿宋" w:hAnsi="仿宋" w:eastAsia="仿宋" w:cs="Helvetica"/>
          <w:kern w:val="0"/>
          <w:sz w:val="28"/>
          <w:szCs w:val="28"/>
        </w:rPr>
        <w:t>  （二）政府公物仓库；</w:t>
      </w:r>
    </w:p>
    <w:p>
      <w:pPr>
        <w:widowControl/>
        <w:rPr>
          <w:rFonts w:ascii="仿宋" w:hAnsi="仿宋" w:eastAsia="仿宋" w:cs="Helvetica"/>
          <w:kern w:val="0"/>
          <w:sz w:val="28"/>
          <w:szCs w:val="28"/>
        </w:rPr>
      </w:pPr>
      <w:r>
        <w:rPr>
          <w:rFonts w:ascii="仿宋" w:hAnsi="仿宋" w:eastAsia="仿宋" w:cs="Helvetica"/>
          <w:kern w:val="0"/>
          <w:sz w:val="28"/>
          <w:szCs w:val="28"/>
        </w:rPr>
        <w:t>  （三）通过购买服务等方式选择社会仓库。</w:t>
      </w:r>
    </w:p>
    <w:p>
      <w:pPr>
        <w:widowControl/>
        <w:rPr>
          <w:rFonts w:ascii="仿宋" w:hAnsi="仿宋" w:eastAsia="仿宋" w:cs="Helvetica"/>
          <w:kern w:val="0"/>
          <w:sz w:val="28"/>
          <w:szCs w:val="28"/>
        </w:rPr>
      </w:pPr>
      <w:r>
        <w:rPr>
          <w:rFonts w:ascii="仿宋" w:hAnsi="仿宋" w:eastAsia="仿宋" w:cs="Helvetica"/>
          <w:kern w:val="0"/>
          <w:sz w:val="28"/>
          <w:szCs w:val="28"/>
        </w:rPr>
        <w:t>  第七条</w:t>
      </w:r>
      <w:r>
        <w:rPr>
          <w:rFonts w:ascii="Calibri" w:hAnsi="Calibri" w:eastAsia="仿宋" w:cs="Calibri"/>
          <w:kern w:val="0"/>
          <w:sz w:val="28"/>
          <w:szCs w:val="28"/>
        </w:rPr>
        <w:t> </w:t>
      </w:r>
      <w:r>
        <w:rPr>
          <w:rFonts w:ascii="仿宋" w:hAnsi="仿宋" w:eastAsia="仿宋" w:cs="Helvetica"/>
          <w:kern w:val="0"/>
          <w:sz w:val="28"/>
          <w:szCs w:val="28"/>
        </w:rPr>
        <w:t>设置政府公物仓的地区，执法机关应当在根据行政处罚决定，没收、追缴决定，法院生效裁定、判决没收物品或者公告期满后，在同级财政部门规定的期限内，将罚没物品及其他必要的证明文件、材料，移送至政府公物仓，并向财政部门备案。</w:t>
      </w:r>
    </w:p>
    <w:p>
      <w:pPr>
        <w:widowControl/>
        <w:rPr>
          <w:rFonts w:ascii="仿宋" w:hAnsi="仿宋" w:eastAsia="仿宋" w:cs="Helvetica"/>
          <w:kern w:val="0"/>
          <w:sz w:val="28"/>
          <w:szCs w:val="28"/>
        </w:rPr>
      </w:pPr>
      <w:r>
        <w:rPr>
          <w:rFonts w:ascii="仿宋" w:hAnsi="仿宋" w:eastAsia="仿宋" w:cs="Helvetica"/>
          <w:kern w:val="0"/>
          <w:sz w:val="28"/>
          <w:szCs w:val="28"/>
        </w:rPr>
        <w:t>  第八条</w:t>
      </w:r>
      <w:r>
        <w:rPr>
          <w:rFonts w:ascii="Calibri" w:hAnsi="Calibri" w:eastAsia="仿宋" w:cs="Calibri"/>
          <w:kern w:val="0"/>
          <w:sz w:val="28"/>
          <w:szCs w:val="28"/>
        </w:rPr>
        <w:t> </w:t>
      </w:r>
      <w:r>
        <w:rPr>
          <w:rFonts w:ascii="仿宋" w:hAnsi="仿宋" w:eastAsia="仿宋" w:cs="Helvetica"/>
          <w:kern w:val="0"/>
          <w:sz w:val="28"/>
          <w:szCs w:val="28"/>
        </w:rPr>
        <w:t>罚没仓库的保管条件、保管措施、管理方式应当满足防火、防水、防腐、防疫、防盗等基础安全要求，符合被保管罚没物品的特性。应当安装视频监控、防盗报警等安全设备。</w:t>
      </w:r>
    </w:p>
    <w:p>
      <w:pPr>
        <w:widowControl/>
        <w:rPr>
          <w:rFonts w:ascii="仿宋" w:hAnsi="仿宋" w:eastAsia="仿宋" w:cs="Helvetica"/>
          <w:kern w:val="0"/>
          <w:sz w:val="28"/>
          <w:szCs w:val="28"/>
        </w:rPr>
      </w:pPr>
      <w:r>
        <w:rPr>
          <w:rFonts w:ascii="仿宋" w:hAnsi="仿宋" w:eastAsia="仿宋" w:cs="Helvetica"/>
          <w:kern w:val="0"/>
          <w:sz w:val="28"/>
          <w:szCs w:val="28"/>
        </w:rPr>
        <w:t>  第九条</w:t>
      </w:r>
      <w:r>
        <w:rPr>
          <w:rFonts w:ascii="Calibri" w:hAnsi="Calibri" w:eastAsia="仿宋" w:cs="Calibri"/>
          <w:kern w:val="0"/>
          <w:sz w:val="28"/>
          <w:szCs w:val="28"/>
        </w:rPr>
        <w:t> </w:t>
      </w:r>
      <w:r>
        <w:rPr>
          <w:rFonts w:ascii="仿宋" w:hAnsi="仿宋" w:eastAsia="仿宋" w:cs="Helvetica"/>
          <w:kern w:val="0"/>
          <w:sz w:val="28"/>
          <w:szCs w:val="28"/>
        </w:rPr>
        <w:t>执法机关、政府公物仓应当建立健全罚没物品保管制度，规范业务流程和单据管理，具体包括：</w:t>
      </w:r>
    </w:p>
    <w:p>
      <w:pPr>
        <w:widowControl/>
        <w:rPr>
          <w:rFonts w:ascii="仿宋" w:hAnsi="仿宋" w:eastAsia="仿宋" w:cs="Helvetica"/>
          <w:kern w:val="0"/>
          <w:sz w:val="28"/>
          <w:szCs w:val="28"/>
        </w:rPr>
      </w:pPr>
      <w:r>
        <w:rPr>
          <w:rFonts w:ascii="仿宋" w:hAnsi="仿宋" w:eastAsia="仿宋" w:cs="Helvetica"/>
          <w:kern w:val="0"/>
          <w:sz w:val="28"/>
          <w:szCs w:val="28"/>
        </w:rPr>
        <w:t>  （一）建立台账制度，对接管的罚没物品必须造册、登记，清楚、准确、全面反映罚没物品的主要属性和特点，完整记录从入库到处置全过程。</w:t>
      </w:r>
    </w:p>
    <w:p>
      <w:pPr>
        <w:widowControl/>
        <w:rPr>
          <w:rFonts w:ascii="仿宋" w:hAnsi="仿宋" w:eastAsia="仿宋" w:cs="Helvetica"/>
          <w:kern w:val="0"/>
          <w:sz w:val="28"/>
          <w:szCs w:val="28"/>
        </w:rPr>
      </w:pPr>
      <w:r>
        <w:rPr>
          <w:rFonts w:ascii="仿宋" w:hAnsi="仿宋" w:eastAsia="仿宋" w:cs="Helvetica"/>
          <w:kern w:val="0"/>
          <w:sz w:val="28"/>
          <w:szCs w:val="28"/>
        </w:rPr>
        <w:t>  （二）建立分类保管制度，对不同种类的罚没物品，应当分类保管。对文物、文化艺术品、贵金属、珠宝等贵重罚没物品，应当做到移交、入库、保管、出库全程录音录像，并做好密封工作。</w:t>
      </w:r>
    </w:p>
    <w:p>
      <w:pPr>
        <w:widowControl/>
        <w:rPr>
          <w:rFonts w:ascii="仿宋" w:hAnsi="仿宋" w:eastAsia="仿宋" w:cs="Helvetica"/>
          <w:kern w:val="0"/>
          <w:sz w:val="28"/>
          <w:szCs w:val="28"/>
        </w:rPr>
      </w:pPr>
      <w:r>
        <w:rPr>
          <w:rFonts w:ascii="仿宋" w:hAnsi="仿宋" w:eastAsia="仿宋" w:cs="Helvetica"/>
          <w:kern w:val="0"/>
          <w:sz w:val="28"/>
          <w:szCs w:val="28"/>
        </w:rPr>
        <w:t>  （三）建立安全保卫制度，落实人员责任，确保物品妥善保管。</w:t>
      </w:r>
    </w:p>
    <w:p>
      <w:pPr>
        <w:widowControl/>
        <w:rPr>
          <w:rFonts w:ascii="仿宋" w:hAnsi="仿宋" w:eastAsia="仿宋" w:cs="Helvetica"/>
          <w:kern w:val="0"/>
          <w:sz w:val="28"/>
          <w:szCs w:val="28"/>
        </w:rPr>
      </w:pPr>
      <w:r>
        <w:rPr>
          <w:rFonts w:ascii="仿宋" w:hAnsi="仿宋" w:eastAsia="仿宋" w:cs="Helvetica"/>
          <w:kern w:val="0"/>
          <w:sz w:val="28"/>
          <w:szCs w:val="28"/>
        </w:rPr>
        <w:t>  （四）建立清查盘存制度，做到账实一致，定期向财政部门报告罚没物品管理情况。</w:t>
      </w:r>
    </w:p>
    <w:p>
      <w:pPr>
        <w:widowControl/>
        <w:rPr>
          <w:rFonts w:ascii="仿宋" w:hAnsi="仿宋" w:eastAsia="仿宋" w:cs="Helvetica"/>
          <w:kern w:val="0"/>
          <w:sz w:val="28"/>
          <w:szCs w:val="28"/>
        </w:rPr>
      </w:pPr>
      <w:r>
        <w:rPr>
          <w:rFonts w:ascii="仿宋" w:hAnsi="仿宋" w:eastAsia="仿宋" w:cs="Helvetica"/>
          <w:kern w:val="0"/>
          <w:sz w:val="28"/>
          <w:szCs w:val="28"/>
        </w:rPr>
        <w:t>  第十条</w:t>
      </w:r>
      <w:r>
        <w:rPr>
          <w:rFonts w:ascii="Calibri" w:hAnsi="Calibri" w:eastAsia="仿宋" w:cs="Calibri"/>
          <w:kern w:val="0"/>
          <w:sz w:val="28"/>
          <w:szCs w:val="28"/>
        </w:rPr>
        <w:t> </w:t>
      </w:r>
      <w:r>
        <w:rPr>
          <w:rFonts w:ascii="仿宋" w:hAnsi="仿宋" w:eastAsia="仿宋" w:cs="Helvetica"/>
          <w:kern w:val="0"/>
          <w:sz w:val="28"/>
          <w:szCs w:val="28"/>
        </w:rPr>
        <w:t>罚没仓库应当凭经执法机关或者政府公物仓按管理职责批准的书面文件或者单证办理出库手续，并在登记的出库清单上列明，由经办人与提货人共同签名确认，确保出库清单与批准文件、出库罚没物品一致。</w:t>
      </w:r>
    </w:p>
    <w:p>
      <w:pPr>
        <w:widowControl/>
        <w:rPr>
          <w:rFonts w:ascii="仿宋" w:hAnsi="仿宋" w:eastAsia="仿宋" w:cs="Helvetica"/>
          <w:kern w:val="0"/>
          <w:sz w:val="28"/>
          <w:szCs w:val="28"/>
        </w:rPr>
      </w:pPr>
      <w:r>
        <w:rPr>
          <w:rFonts w:ascii="仿宋" w:hAnsi="仿宋" w:eastAsia="仿宋" w:cs="Helvetica"/>
          <w:kern w:val="0"/>
          <w:sz w:val="28"/>
          <w:szCs w:val="28"/>
        </w:rPr>
        <w:t>  罚没仓库无正当理由不得妨碍符合出库规定和手续的罚没物品出库。</w:t>
      </w:r>
    </w:p>
    <w:p>
      <w:pPr>
        <w:widowControl/>
        <w:rPr>
          <w:rFonts w:ascii="仿宋" w:hAnsi="仿宋" w:eastAsia="仿宋" w:cs="Helvetica"/>
          <w:kern w:val="0"/>
          <w:sz w:val="28"/>
          <w:szCs w:val="28"/>
        </w:rPr>
      </w:pPr>
      <w:r>
        <w:rPr>
          <w:rFonts w:ascii="仿宋" w:hAnsi="仿宋" w:eastAsia="仿宋" w:cs="Helvetica"/>
          <w:kern w:val="0"/>
          <w:sz w:val="28"/>
          <w:szCs w:val="28"/>
        </w:rPr>
        <w:t>  第十一条</w:t>
      </w:r>
      <w:r>
        <w:rPr>
          <w:rFonts w:ascii="Calibri" w:hAnsi="Calibri" w:eastAsia="仿宋" w:cs="Calibri"/>
          <w:kern w:val="0"/>
          <w:sz w:val="28"/>
          <w:szCs w:val="28"/>
        </w:rPr>
        <w:t> </w:t>
      </w:r>
      <w:r>
        <w:rPr>
          <w:rFonts w:ascii="仿宋" w:hAnsi="仿宋" w:eastAsia="仿宋" w:cs="Helvetica"/>
          <w:kern w:val="0"/>
          <w:sz w:val="28"/>
          <w:szCs w:val="28"/>
        </w:rPr>
        <w:t>执法机关、政府公物仓应当运用信息化手段，建立来源去向明晰、管理全程可控、全面接受监督的管理信息系统。</w:t>
      </w:r>
    </w:p>
    <w:p>
      <w:pPr>
        <w:widowControl/>
        <w:rPr>
          <w:rFonts w:ascii="仿宋" w:hAnsi="仿宋" w:eastAsia="仿宋" w:cs="Helvetica"/>
          <w:kern w:val="0"/>
          <w:sz w:val="28"/>
          <w:szCs w:val="28"/>
        </w:rPr>
      </w:pPr>
      <w:r>
        <w:rPr>
          <w:rFonts w:ascii="仿宋" w:hAnsi="仿宋" w:eastAsia="仿宋" w:cs="Helvetica"/>
          <w:kern w:val="0"/>
          <w:sz w:val="28"/>
          <w:szCs w:val="28"/>
        </w:rPr>
        <w:t>  执法机关、政府公物仓的管理信息系统，应当逐步与财政部门的非税收入收缴系统等平台对接，实现互联互通和信息共享。</w:t>
      </w:r>
    </w:p>
    <w:p>
      <w:pPr>
        <w:widowControl/>
        <w:rPr>
          <w:rFonts w:ascii="仿宋" w:hAnsi="仿宋" w:eastAsia="仿宋" w:cs="Helvetica"/>
          <w:kern w:val="0"/>
          <w:sz w:val="28"/>
          <w:szCs w:val="28"/>
        </w:rPr>
      </w:pPr>
      <w:r>
        <w:rPr>
          <w:rFonts w:ascii="仿宋" w:hAnsi="仿宋" w:eastAsia="仿宋" w:cs="Helvetica"/>
          <w:kern w:val="0"/>
          <w:sz w:val="28"/>
          <w:szCs w:val="28"/>
        </w:rPr>
        <w:t>第三章</w:t>
      </w:r>
      <w:r>
        <w:rPr>
          <w:rFonts w:ascii="Calibri" w:hAnsi="Calibri" w:eastAsia="仿宋" w:cs="Calibri"/>
          <w:kern w:val="0"/>
          <w:sz w:val="28"/>
          <w:szCs w:val="28"/>
        </w:rPr>
        <w:t> </w:t>
      </w:r>
      <w:r>
        <w:rPr>
          <w:rFonts w:ascii="仿宋" w:hAnsi="仿宋" w:eastAsia="仿宋" w:cs="Helvetica"/>
          <w:kern w:val="0"/>
          <w:sz w:val="28"/>
          <w:szCs w:val="28"/>
        </w:rPr>
        <w:t>罚没财物处置</w:t>
      </w:r>
    </w:p>
    <w:p>
      <w:pPr>
        <w:widowControl/>
        <w:rPr>
          <w:rFonts w:ascii="仿宋" w:hAnsi="仿宋" w:eastAsia="仿宋" w:cs="Helvetica"/>
          <w:kern w:val="0"/>
          <w:sz w:val="28"/>
          <w:szCs w:val="28"/>
        </w:rPr>
      </w:pPr>
      <w:r>
        <w:rPr>
          <w:rFonts w:ascii="仿宋" w:hAnsi="仿宋" w:eastAsia="仿宋" w:cs="Helvetica"/>
          <w:kern w:val="0"/>
          <w:sz w:val="28"/>
          <w:szCs w:val="28"/>
        </w:rPr>
        <w:t>  第十二条</w:t>
      </w:r>
      <w:r>
        <w:rPr>
          <w:rFonts w:ascii="Calibri" w:hAnsi="Calibri" w:eastAsia="仿宋" w:cs="Calibri"/>
          <w:kern w:val="0"/>
          <w:sz w:val="28"/>
          <w:szCs w:val="28"/>
        </w:rPr>
        <w:t> </w:t>
      </w:r>
      <w:r>
        <w:rPr>
          <w:rFonts w:ascii="仿宋" w:hAnsi="仿宋" w:eastAsia="仿宋" w:cs="Helvetica"/>
          <w:kern w:val="0"/>
          <w:sz w:val="28"/>
          <w:szCs w:val="28"/>
        </w:rPr>
        <w:t>罚没财物的处置应当遵循公开、公平、公正原则，依法分类、定期处置，提高处置效率，降低仓储成本和处置成本，实现处置价值最大化。</w:t>
      </w:r>
    </w:p>
    <w:p>
      <w:pPr>
        <w:widowControl/>
        <w:rPr>
          <w:rFonts w:ascii="仿宋" w:hAnsi="仿宋" w:eastAsia="仿宋" w:cs="Helvetica"/>
          <w:kern w:val="0"/>
          <w:sz w:val="28"/>
          <w:szCs w:val="28"/>
        </w:rPr>
      </w:pPr>
      <w:r>
        <w:rPr>
          <w:rFonts w:ascii="仿宋" w:hAnsi="仿宋" w:eastAsia="仿宋" w:cs="Helvetica"/>
          <w:kern w:val="0"/>
          <w:sz w:val="28"/>
          <w:szCs w:val="28"/>
        </w:rPr>
        <w:t>  第十三条</w:t>
      </w:r>
      <w:r>
        <w:rPr>
          <w:rFonts w:ascii="Calibri" w:hAnsi="Calibri" w:eastAsia="仿宋" w:cs="Calibri"/>
          <w:kern w:val="0"/>
          <w:sz w:val="28"/>
          <w:szCs w:val="28"/>
        </w:rPr>
        <w:t> </w:t>
      </w:r>
      <w:r>
        <w:rPr>
          <w:rFonts w:ascii="仿宋" w:hAnsi="仿宋" w:eastAsia="仿宋" w:cs="Helvetica"/>
          <w:kern w:val="0"/>
          <w:sz w:val="28"/>
          <w:szCs w:val="28"/>
        </w:rPr>
        <w:t>各级执法机关、政府公物仓应当依照法律法规和本级人民政府规定的权限，按照本办法的规定处置罚没财物。</w:t>
      </w:r>
    </w:p>
    <w:p>
      <w:pPr>
        <w:widowControl/>
        <w:rPr>
          <w:rFonts w:ascii="仿宋" w:hAnsi="仿宋" w:eastAsia="仿宋" w:cs="Helvetica"/>
          <w:kern w:val="0"/>
          <w:sz w:val="28"/>
          <w:szCs w:val="28"/>
        </w:rPr>
      </w:pPr>
      <w:r>
        <w:rPr>
          <w:rFonts w:ascii="仿宋" w:hAnsi="仿宋" w:eastAsia="仿宋" w:cs="Helvetica"/>
          <w:kern w:val="0"/>
          <w:sz w:val="28"/>
          <w:szCs w:val="28"/>
        </w:rPr>
        <w:t>  各级财政部门会同有关部门对本级罚没财物处置、收入收缴等进行监督，建立处置审批和备案制度。</w:t>
      </w:r>
    </w:p>
    <w:p>
      <w:pPr>
        <w:widowControl/>
        <w:rPr>
          <w:rFonts w:ascii="仿宋" w:hAnsi="仿宋" w:eastAsia="仿宋" w:cs="Helvetica"/>
          <w:kern w:val="0"/>
          <w:sz w:val="28"/>
          <w:szCs w:val="28"/>
        </w:rPr>
      </w:pPr>
      <w:r>
        <w:rPr>
          <w:rFonts w:ascii="仿宋" w:hAnsi="仿宋" w:eastAsia="仿宋" w:cs="Helvetica"/>
          <w:kern w:val="0"/>
          <w:sz w:val="28"/>
          <w:szCs w:val="28"/>
        </w:rPr>
        <w:t>  财政部各地监管局对属地中央预算单位罚没财物的处置、收入收缴等进行监督。</w:t>
      </w:r>
    </w:p>
    <w:p>
      <w:pPr>
        <w:widowControl/>
        <w:rPr>
          <w:rFonts w:ascii="仿宋" w:hAnsi="仿宋" w:eastAsia="仿宋" w:cs="Helvetica"/>
          <w:kern w:val="0"/>
          <w:sz w:val="28"/>
          <w:szCs w:val="28"/>
        </w:rPr>
      </w:pPr>
      <w:r>
        <w:rPr>
          <w:rFonts w:ascii="仿宋" w:hAnsi="仿宋" w:eastAsia="仿宋" w:cs="Helvetica"/>
          <w:kern w:val="0"/>
          <w:sz w:val="28"/>
          <w:szCs w:val="28"/>
        </w:rPr>
        <w:t>  第十四条</w:t>
      </w:r>
      <w:r>
        <w:rPr>
          <w:rFonts w:ascii="Calibri" w:hAnsi="Calibri" w:eastAsia="仿宋" w:cs="Calibri"/>
          <w:kern w:val="0"/>
          <w:sz w:val="28"/>
          <w:szCs w:val="28"/>
        </w:rPr>
        <w:t> </w:t>
      </w:r>
      <w:r>
        <w:rPr>
          <w:rFonts w:ascii="仿宋" w:hAnsi="仿宋" w:eastAsia="仿宋" w:cs="Helvetica"/>
          <w:kern w:val="0"/>
          <w:sz w:val="28"/>
          <w:szCs w:val="28"/>
        </w:rPr>
        <w:t>除法律法规另有规定外，容易损毁、灭失、变质、保管困难或者保管费用过高、季节性商品等不宜长期保存的物品，长期不使用容易导致机械性能下降、价值贬损的车辆、船艇、电子产品等物品，以及有效期即将届满的汇票、本票、支票等，在确定为罚没财物前，经权利人同意或者申请，并经执法机关负责人批准，可以依法先行处置；权利人不明确的，可以依法公告，公告期满后仍没有权利人同意或者申请的，可以依法先行处置。先行处置所得款项按照涉案现金管理。</w:t>
      </w:r>
    </w:p>
    <w:p>
      <w:pPr>
        <w:widowControl/>
        <w:rPr>
          <w:rFonts w:ascii="仿宋" w:hAnsi="仿宋" w:eastAsia="仿宋" w:cs="Helvetica"/>
          <w:kern w:val="0"/>
          <w:sz w:val="28"/>
          <w:szCs w:val="28"/>
        </w:rPr>
      </w:pPr>
      <w:r>
        <w:rPr>
          <w:rFonts w:ascii="仿宋" w:hAnsi="仿宋" w:eastAsia="仿宋" w:cs="Helvetica"/>
          <w:kern w:val="0"/>
          <w:sz w:val="28"/>
          <w:szCs w:val="28"/>
        </w:rPr>
        <w:t>  第十五条</w:t>
      </w:r>
      <w:r>
        <w:rPr>
          <w:rFonts w:ascii="Calibri" w:hAnsi="Calibri" w:eastAsia="仿宋" w:cs="Calibri"/>
          <w:kern w:val="0"/>
          <w:sz w:val="28"/>
          <w:szCs w:val="28"/>
        </w:rPr>
        <w:t> </w:t>
      </w:r>
      <w:r>
        <w:rPr>
          <w:rFonts w:ascii="仿宋" w:hAnsi="仿宋" w:eastAsia="仿宋" w:cs="Helvetica"/>
          <w:kern w:val="0"/>
          <w:sz w:val="28"/>
          <w:szCs w:val="28"/>
        </w:rPr>
        <w:t>罚没物品处置前存在破损、污秽等情形的，在有利于加快处置的情况下，且清理、修复费用低于变卖收入的，可以进行适当清理、修复。</w:t>
      </w:r>
    </w:p>
    <w:p>
      <w:pPr>
        <w:widowControl/>
        <w:rPr>
          <w:rFonts w:ascii="仿宋" w:hAnsi="仿宋" w:eastAsia="仿宋" w:cs="Helvetica"/>
          <w:kern w:val="0"/>
          <w:sz w:val="28"/>
          <w:szCs w:val="28"/>
        </w:rPr>
      </w:pPr>
      <w:r>
        <w:rPr>
          <w:rFonts w:ascii="仿宋" w:hAnsi="仿宋" w:eastAsia="仿宋" w:cs="Helvetica"/>
          <w:kern w:val="0"/>
          <w:sz w:val="28"/>
          <w:szCs w:val="28"/>
        </w:rPr>
        <w:t>  第十六条</w:t>
      </w:r>
      <w:r>
        <w:rPr>
          <w:rFonts w:ascii="Calibri" w:hAnsi="Calibri" w:eastAsia="仿宋" w:cs="Calibri"/>
          <w:kern w:val="0"/>
          <w:sz w:val="28"/>
          <w:szCs w:val="28"/>
        </w:rPr>
        <w:t> </w:t>
      </w:r>
      <w:r>
        <w:rPr>
          <w:rFonts w:ascii="仿宋" w:hAnsi="仿宋" w:eastAsia="仿宋" w:cs="Helvetica"/>
          <w:kern w:val="0"/>
          <w:sz w:val="28"/>
          <w:szCs w:val="28"/>
        </w:rPr>
        <w:t>执法机关依法取得的罚没物品，除法律、行政法规禁止买卖的物品或者财产权利、按国家规定另行处置外，应当按照国家规定进行公开拍卖。公开拍卖应当符合下列要求：</w:t>
      </w:r>
    </w:p>
    <w:p>
      <w:pPr>
        <w:widowControl/>
        <w:rPr>
          <w:rFonts w:ascii="仿宋" w:hAnsi="仿宋" w:eastAsia="仿宋" w:cs="Helvetica"/>
          <w:kern w:val="0"/>
          <w:sz w:val="28"/>
          <w:szCs w:val="28"/>
        </w:rPr>
      </w:pPr>
      <w:r>
        <w:rPr>
          <w:rFonts w:ascii="仿宋" w:hAnsi="仿宋" w:eastAsia="仿宋" w:cs="Helvetica"/>
          <w:kern w:val="0"/>
          <w:sz w:val="28"/>
          <w:szCs w:val="28"/>
        </w:rPr>
        <w:t>  （一）拍卖活动可以采取现场拍卖方式，鼓励有条件的部门和地区通过互联网和公共资源交易平台进行公开拍卖。</w:t>
      </w:r>
    </w:p>
    <w:p>
      <w:pPr>
        <w:widowControl/>
        <w:rPr>
          <w:rFonts w:ascii="仿宋" w:hAnsi="仿宋" w:eastAsia="仿宋" w:cs="Helvetica"/>
          <w:kern w:val="0"/>
          <w:sz w:val="28"/>
          <w:szCs w:val="28"/>
        </w:rPr>
      </w:pPr>
      <w:r>
        <w:rPr>
          <w:rFonts w:ascii="仿宋" w:hAnsi="仿宋" w:eastAsia="仿宋" w:cs="Helvetica"/>
          <w:kern w:val="0"/>
          <w:sz w:val="28"/>
          <w:szCs w:val="28"/>
        </w:rPr>
        <w:t>  （二）公开拍卖应当委托具有相应拍卖资格的拍卖人进行，拍卖人可以通过摇珠等方式从具备资格条件的范围中选定，必要时可以选择多个拍卖人进行联合拍卖。</w:t>
      </w:r>
    </w:p>
    <w:p>
      <w:pPr>
        <w:widowControl/>
        <w:rPr>
          <w:rFonts w:ascii="仿宋" w:hAnsi="仿宋" w:eastAsia="仿宋" w:cs="Helvetica"/>
          <w:kern w:val="0"/>
          <w:sz w:val="28"/>
          <w:szCs w:val="28"/>
        </w:rPr>
      </w:pPr>
      <w:r>
        <w:rPr>
          <w:rFonts w:ascii="仿宋" w:hAnsi="仿宋" w:eastAsia="仿宋" w:cs="Helvetica"/>
          <w:kern w:val="0"/>
          <w:sz w:val="28"/>
          <w:szCs w:val="28"/>
        </w:rPr>
        <w:t>  （三）罚没物品属于国家有强制安全标准或者涉及人民生命财产安全的，应当委托符合有关规定资格条件的检验检疫机构进行检验检测，不符合安全、卫生、质量或者动植物检疫标准的，不得进行公开拍卖。</w:t>
      </w:r>
    </w:p>
    <w:p>
      <w:pPr>
        <w:widowControl/>
        <w:rPr>
          <w:rFonts w:ascii="仿宋" w:hAnsi="仿宋" w:eastAsia="仿宋" w:cs="Helvetica"/>
          <w:kern w:val="0"/>
          <w:sz w:val="28"/>
          <w:szCs w:val="28"/>
        </w:rPr>
      </w:pPr>
      <w:r>
        <w:rPr>
          <w:rFonts w:ascii="仿宋" w:hAnsi="仿宋" w:eastAsia="仿宋" w:cs="Helvetica"/>
          <w:kern w:val="0"/>
          <w:sz w:val="28"/>
          <w:szCs w:val="28"/>
        </w:rPr>
        <w:t>  （四）根据需要，可以采取“一物一拍”等方式对罚没物品进行拍卖。采用公开拍卖方式处置的，一般应当确定拍卖标的保留价。保留价一般参照价格认定机构或者符合资格条件的资产评估机构作出的评估价确定，也可以参照市场价或者通过互联网询价确定。</w:t>
      </w:r>
    </w:p>
    <w:p>
      <w:pPr>
        <w:widowControl/>
        <w:rPr>
          <w:rFonts w:ascii="仿宋" w:hAnsi="仿宋" w:eastAsia="仿宋" w:cs="Helvetica"/>
          <w:kern w:val="0"/>
          <w:sz w:val="28"/>
          <w:szCs w:val="28"/>
        </w:rPr>
      </w:pPr>
      <w:r>
        <w:rPr>
          <w:rFonts w:ascii="仿宋" w:hAnsi="仿宋" w:eastAsia="仿宋" w:cs="Helvetica"/>
          <w:kern w:val="0"/>
          <w:sz w:val="28"/>
          <w:szCs w:val="28"/>
        </w:rPr>
        <w:t>  （五）公开拍卖发生流拍情形的，再次拍卖的保留价不得低于前次拍卖保留价的80%。发生3次（含）以上流拍情形的，经执法机关商同级财政部门确定后，可以通过互联网平台采取无底价拍卖或者转为其他处置方式。</w:t>
      </w:r>
    </w:p>
    <w:p>
      <w:pPr>
        <w:widowControl/>
        <w:rPr>
          <w:rFonts w:ascii="仿宋" w:hAnsi="仿宋" w:eastAsia="仿宋" w:cs="Helvetica"/>
          <w:kern w:val="0"/>
          <w:sz w:val="28"/>
          <w:szCs w:val="28"/>
        </w:rPr>
      </w:pPr>
      <w:r>
        <w:rPr>
          <w:rFonts w:ascii="仿宋" w:hAnsi="仿宋" w:eastAsia="仿宋" w:cs="Helvetica"/>
          <w:kern w:val="0"/>
          <w:sz w:val="28"/>
          <w:szCs w:val="28"/>
        </w:rPr>
        <w:t>  第十七条</w:t>
      </w:r>
      <w:r>
        <w:rPr>
          <w:rFonts w:ascii="Calibri" w:hAnsi="Calibri" w:eastAsia="仿宋" w:cs="Calibri"/>
          <w:kern w:val="0"/>
          <w:sz w:val="28"/>
          <w:szCs w:val="28"/>
        </w:rPr>
        <w:t> </w:t>
      </w:r>
      <w:r>
        <w:rPr>
          <w:rFonts w:ascii="仿宋" w:hAnsi="仿宋" w:eastAsia="仿宋" w:cs="Helvetica"/>
          <w:kern w:val="0"/>
          <w:sz w:val="28"/>
          <w:szCs w:val="28"/>
        </w:rPr>
        <w:t>属于国家规定的专卖商品等限制流通的罚没物品，应当交由归口管理单位统一变卖，或者变卖给按规定可以接受该物品的单位。</w:t>
      </w:r>
    </w:p>
    <w:p>
      <w:pPr>
        <w:widowControl/>
        <w:rPr>
          <w:rFonts w:ascii="仿宋" w:hAnsi="仿宋" w:eastAsia="仿宋" w:cs="Helvetica"/>
          <w:kern w:val="0"/>
          <w:sz w:val="28"/>
          <w:szCs w:val="28"/>
        </w:rPr>
      </w:pPr>
      <w:r>
        <w:rPr>
          <w:rFonts w:ascii="仿宋" w:hAnsi="仿宋" w:eastAsia="仿宋" w:cs="Helvetica"/>
          <w:kern w:val="0"/>
          <w:sz w:val="28"/>
          <w:szCs w:val="28"/>
        </w:rPr>
        <w:t>  第十八条</w:t>
      </w:r>
      <w:r>
        <w:rPr>
          <w:rFonts w:ascii="Calibri" w:hAnsi="Calibri" w:eastAsia="仿宋" w:cs="Calibri"/>
          <w:kern w:val="0"/>
          <w:sz w:val="28"/>
          <w:szCs w:val="28"/>
        </w:rPr>
        <w:t> </w:t>
      </w:r>
      <w:r>
        <w:rPr>
          <w:rFonts w:ascii="仿宋" w:hAnsi="仿宋" w:eastAsia="仿宋" w:cs="Helvetica"/>
          <w:kern w:val="0"/>
          <w:sz w:val="28"/>
          <w:szCs w:val="28"/>
        </w:rPr>
        <w:t>下列罚没物品，应当移交相关主管部门处置：</w:t>
      </w:r>
    </w:p>
    <w:p>
      <w:pPr>
        <w:widowControl/>
        <w:rPr>
          <w:rFonts w:ascii="仿宋" w:hAnsi="仿宋" w:eastAsia="仿宋" w:cs="Helvetica"/>
          <w:kern w:val="0"/>
          <w:sz w:val="28"/>
          <w:szCs w:val="28"/>
        </w:rPr>
      </w:pPr>
      <w:r>
        <w:rPr>
          <w:rFonts w:ascii="仿宋" w:hAnsi="仿宋" w:eastAsia="仿宋" w:cs="Helvetica"/>
          <w:kern w:val="0"/>
          <w:sz w:val="28"/>
          <w:szCs w:val="28"/>
        </w:rPr>
        <w:t>  （一）依法没收的文物，应当移交国家或者省级文物行政管理部门，由其指定的国有博物馆、图书馆等文物收藏单位收藏或者按国家有关规定处置。经国家或者省级文物行政管理部门授权，市、县的文物行政管理部门或者有关国有博物馆、图书馆等文物收藏单位可以具体承办文物接收事宜。</w:t>
      </w:r>
    </w:p>
    <w:p>
      <w:pPr>
        <w:widowControl/>
        <w:rPr>
          <w:rFonts w:ascii="仿宋" w:hAnsi="仿宋" w:eastAsia="仿宋" w:cs="Helvetica"/>
          <w:kern w:val="0"/>
          <w:sz w:val="28"/>
          <w:szCs w:val="28"/>
        </w:rPr>
      </w:pPr>
      <w:r>
        <w:rPr>
          <w:rFonts w:ascii="仿宋" w:hAnsi="仿宋" w:eastAsia="仿宋" w:cs="Helvetica"/>
          <w:kern w:val="0"/>
          <w:sz w:val="28"/>
          <w:szCs w:val="28"/>
        </w:rPr>
        <w:t>  （二）武器、弹药、管制刀具、毒品、毒具、赌具、禁止流通的易燃易爆危险品等，应当移交同级公安部门或者其他有关部门处置，或者经公安部门、其他有关部门同意，由有关执法机关依法处置。</w:t>
      </w:r>
    </w:p>
    <w:p>
      <w:pPr>
        <w:widowControl/>
        <w:rPr>
          <w:rFonts w:ascii="仿宋" w:hAnsi="仿宋" w:eastAsia="仿宋" w:cs="Helvetica"/>
          <w:kern w:val="0"/>
          <w:sz w:val="28"/>
          <w:szCs w:val="28"/>
        </w:rPr>
      </w:pPr>
      <w:r>
        <w:rPr>
          <w:rFonts w:ascii="仿宋" w:hAnsi="仿宋" w:eastAsia="仿宋" w:cs="Helvetica"/>
          <w:kern w:val="0"/>
          <w:sz w:val="28"/>
          <w:szCs w:val="28"/>
        </w:rPr>
        <w:t>  （三）依法没收的野生动植物及其制品，应当交由野生动植物保护主管部门、海洋执法部门或者有关保护区域管理机构按规定处置，或者经有关主管部门同意，交由相关科研机构用于科学研究。</w:t>
      </w:r>
    </w:p>
    <w:p>
      <w:pPr>
        <w:widowControl/>
        <w:rPr>
          <w:rFonts w:ascii="仿宋" w:hAnsi="仿宋" w:eastAsia="仿宋" w:cs="Helvetica"/>
          <w:kern w:val="0"/>
          <w:sz w:val="28"/>
          <w:szCs w:val="28"/>
        </w:rPr>
      </w:pPr>
      <w:r>
        <w:rPr>
          <w:rFonts w:ascii="仿宋" w:hAnsi="仿宋" w:eastAsia="仿宋" w:cs="Helvetica"/>
          <w:kern w:val="0"/>
          <w:sz w:val="28"/>
          <w:szCs w:val="28"/>
        </w:rPr>
        <w:t>  （四）其他应当移交相关主管部门处置的罚没物品。</w:t>
      </w:r>
    </w:p>
    <w:p>
      <w:pPr>
        <w:widowControl/>
        <w:rPr>
          <w:rFonts w:ascii="仿宋" w:hAnsi="仿宋" w:eastAsia="仿宋" w:cs="Helvetica"/>
          <w:kern w:val="0"/>
          <w:sz w:val="28"/>
          <w:szCs w:val="28"/>
        </w:rPr>
      </w:pPr>
      <w:r>
        <w:rPr>
          <w:rFonts w:ascii="仿宋" w:hAnsi="仿宋" w:eastAsia="仿宋" w:cs="Helvetica"/>
          <w:kern w:val="0"/>
          <w:sz w:val="28"/>
          <w:szCs w:val="28"/>
        </w:rPr>
        <w:t>  第十九条</w:t>
      </w:r>
      <w:r>
        <w:rPr>
          <w:rFonts w:ascii="Calibri" w:hAnsi="Calibri" w:eastAsia="仿宋" w:cs="Calibri"/>
          <w:kern w:val="0"/>
          <w:sz w:val="28"/>
          <w:szCs w:val="28"/>
        </w:rPr>
        <w:t> </w:t>
      </w:r>
      <w:r>
        <w:rPr>
          <w:rFonts w:ascii="仿宋" w:hAnsi="仿宋" w:eastAsia="仿宋" w:cs="Helvetica"/>
          <w:kern w:val="0"/>
          <w:sz w:val="28"/>
          <w:szCs w:val="28"/>
        </w:rPr>
        <w:t>罚没物品难以变卖或者变卖成本大于收入，且具有经济价值或者其他价值的，执法机关应当报送同级财政部门，经同级财政部门同意后，可以赠送有关公益单位用于公益事业；没有捐赠且能够继续使用的，由同级财政部门统一管理。</w:t>
      </w:r>
    </w:p>
    <w:p>
      <w:pPr>
        <w:widowControl/>
        <w:rPr>
          <w:rFonts w:ascii="仿宋" w:hAnsi="仿宋" w:eastAsia="仿宋" w:cs="Helvetica"/>
          <w:kern w:val="0"/>
          <w:sz w:val="28"/>
          <w:szCs w:val="28"/>
        </w:rPr>
      </w:pPr>
      <w:r>
        <w:rPr>
          <w:rFonts w:ascii="仿宋" w:hAnsi="仿宋" w:eastAsia="仿宋" w:cs="Helvetica"/>
          <w:kern w:val="0"/>
          <w:sz w:val="28"/>
          <w:szCs w:val="28"/>
        </w:rPr>
        <w:t>  第二十条</w:t>
      </w:r>
      <w:r>
        <w:rPr>
          <w:rFonts w:ascii="Calibri" w:hAnsi="Calibri" w:eastAsia="仿宋" w:cs="Calibri"/>
          <w:kern w:val="0"/>
          <w:sz w:val="28"/>
          <w:szCs w:val="28"/>
        </w:rPr>
        <w:t> </w:t>
      </w:r>
      <w:r>
        <w:rPr>
          <w:rFonts w:ascii="仿宋" w:hAnsi="仿宋" w:eastAsia="仿宋" w:cs="Helvetica"/>
          <w:kern w:val="0"/>
          <w:sz w:val="28"/>
          <w:szCs w:val="28"/>
        </w:rPr>
        <w:t>淫秽、反动物品，非法出版物，有毒有害的食品药品及其原材料，危害国家安全以及其他有社会危害性的物品，以及法律法规规定应当销毁的，应当由执法机关予以销毁。</w:t>
      </w:r>
    </w:p>
    <w:p>
      <w:pPr>
        <w:widowControl/>
        <w:rPr>
          <w:rFonts w:ascii="仿宋" w:hAnsi="仿宋" w:eastAsia="仿宋" w:cs="Helvetica"/>
          <w:kern w:val="0"/>
          <w:sz w:val="28"/>
          <w:szCs w:val="28"/>
        </w:rPr>
      </w:pPr>
      <w:r>
        <w:rPr>
          <w:rFonts w:ascii="仿宋" w:hAnsi="仿宋" w:eastAsia="仿宋" w:cs="Helvetica"/>
          <w:kern w:val="0"/>
          <w:sz w:val="28"/>
          <w:szCs w:val="28"/>
        </w:rPr>
        <w:t>  对难以变卖且无经济价值或者其他价值的，可以由执法机关、政府公物仓予以销毁。</w:t>
      </w:r>
    </w:p>
    <w:p>
      <w:pPr>
        <w:widowControl/>
        <w:rPr>
          <w:rFonts w:ascii="仿宋" w:hAnsi="仿宋" w:eastAsia="仿宋" w:cs="Helvetica"/>
          <w:kern w:val="0"/>
          <w:sz w:val="28"/>
          <w:szCs w:val="28"/>
        </w:rPr>
      </w:pPr>
      <w:r>
        <w:rPr>
          <w:rFonts w:ascii="仿宋" w:hAnsi="仿宋" w:eastAsia="仿宋" w:cs="Helvetica"/>
          <w:kern w:val="0"/>
          <w:sz w:val="28"/>
          <w:szCs w:val="28"/>
        </w:rPr>
        <w:t>  属于应销毁的物品经无害化或者合法化处理，丧失原有功能后尚有经济价值的，可以由执法机关、政府公物仓作为废旧物品变卖。</w:t>
      </w:r>
    </w:p>
    <w:p>
      <w:pPr>
        <w:widowControl/>
        <w:rPr>
          <w:rFonts w:ascii="仿宋" w:hAnsi="仿宋" w:eastAsia="仿宋" w:cs="Helvetica"/>
          <w:kern w:val="0"/>
          <w:sz w:val="28"/>
          <w:szCs w:val="28"/>
        </w:rPr>
      </w:pPr>
      <w:r>
        <w:rPr>
          <w:rFonts w:ascii="仿宋" w:hAnsi="仿宋" w:eastAsia="仿宋" w:cs="Helvetica"/>
          <w:kern w:val="0"/>
          <w:sz w:val="28"/>
          <w:szCs w:val="28"/>
        </w:rPr>
        <w:t>  第二十一条</w:t>
      </w:r>
      <w:r>
        <w:rPr>
          <w:rFonts w:ascii="Calibri" w:hAnsi="Calibri" w:eastAsia="仿宋" w:cs="Calibri"/>
          <w:kern w:val="0"/>
          <w:sz w:val="28"/>
          <w:szCs w:val="28"/>
        </w:rPr>
        <w:t> </w:t>
      </w:r>
      <w:r>
        <w:rPr>
          <w:rFonts w:ascii="仿宋" w:hAnsi="仿宋" w:eastAsia="仿宋" w:cs="Helvetica"/>
          <w:kern w:val="0"/>
          <w:sz w:val="28"/>
          <w:szCs w:val="28"/>
        </w:rPr>
        <w:t>已纳入罚没仓库保管的物品，依法应当退还的，由执法机关、政府公物仓办理退还手续。</w:t>
      </w:r>
    </w:p>
    <w:p>
      <w:pPr>
        <w:widowControl/>
        <w:rPr>
          <w:rFonts w:ascii="仿宋" w:hAnsi="仿宋" w:eastAsia="仿宋" w:cs="Helvetica"/>
          <w:kern w:val="0"/>
          <w:sz w:val="28"/>
          <w:szCs w:val="28"/>
        </w:rPr>
      </w:pPr>
      <w:r>
        <w:rPr>
          <w:rFonts w:ascii="仿宋" w:hAnsi="仿宋" w:eastAsia="仿宋" w:cs="Helvetica"/>
          <w:kern w:val="0"/>
          <w:sz w:val="28"/>
          <w:szCs w:val="28"/>
        </w:rPr>
        <w:t>  第二十二条</w:t>
      </w:r>
      <w:r>
        <w:rPr>
          <w:rFonts w:ascii="Calibri" w:hAnsi="Calibri" w:eastAsia="仿宋" w:cs="Calibri"/>
          <w:kern w:val="0"/>
          <w:sz w:val="28"/>
          <w:szCs w:val="28"/>
        </w:rPr>
        <w:t> </w:t>
      </w:r>
      <w:r>
        <w:rPr>
          <w:rFonts w:ascii="仿宋" w:hAnsi="仿宋" w:eastAsia="仿宋" w:cs="Helvetica"/>
          <w:kern w:val="0"/>
          <w:sz w:val="28"/>
          <w:szCs w:val="28"/>
        </w:rPr>
        <w:t>依法应当进行权属登记的房产、土地使用权等罚没财产和财产权利，变卖前可以依据行政处罚决定，没收、追缴决定，法院生效裁定、判决进行权属变更，变更后应当按本办法相关规定处置。</w:t>
      </w:r>
    </w:p>
    <w:p>
      <w:pPr>
        <w:widowControl/>
        <w:rPr>
          <w:rFonts w:ascii="仿宋" w:hAnsi="仿宋" w:eastAsia="仿宋" w:cs="Helvetica"/>
          <w:kern w:val="0"/>
          <w:sz w:val="28"/>
          <w:szCs w:val="28"/>
        </w:rPr>
      </w:pPr>
      <w:r>
        <w:rPr>
          <w:rFonts w:ascii="仿宋" w:hAnsi="仿宋" w:eastAsia="仿宋" w:cs="Helvetica"/>
          <w:kern w:val="0"/>
          <w:sz w:val="28"/>
          <w:szCs w:val="28"/>
        </w:rPr>
        <w:t>  权属变更后的承接权属主体可以是执法机关、政府公物仓、同级财政部门或者其他指定机构，但不改变罚没财物的性质，承接单位不得占用、出租、出借。</w:t>
      </w:r>
    </w:p>
    <w:p>
      <w:pPr>
        <w:widowControl/>
        <w:rPr>
          <w:rFonts w:ascii="仿宋" w:hAnsi="仿宋" w:eastAsia="仿宋" w:cs="Helvetica"/>
          <w:kern w:val="0"/>
          <w:sz w:val="28"/>
          <w:szCs w:val="28"/>
        </w:rPr>
      </w:pPr>
      <w:r>
        <w:rPr>
          <w:rFonts w:ascii="仿宋" w:hAnsi="仿宋" w:eastAsia="仿宋" w:cs="Helvetica"/>
          <w:kern w:val="0"/>
          <w:sz w:val="28"/>
          <w:szCs w:val="28"/>
        </w:rPr>
        <w:t>  第二十三条</w:t>
      </w:r>
      <w:r>
        <w:rPr>
          <w:rFonts w:ascii="Calibri" w:hAnsi="Calibri" w:eastAsia="仿宋" w:cs="Calibri"/>
          <w:kern w:val="0"/>
          <w:sz w:val="28"/>
          <w:szCs w:val="28"/>
        </w:rPr>
        <w:t> </w:t>
      </w:r>
      <w:r>
        <w:rPr>
          <w:rFonts w:ascii="仿宋" w:hAnsi="仿宋" w:eastAsia="仿宋" w:cs="Helvetica"/>
          <w:kern w:val="0"/>
          <w:sz w:val="28"/>
          <w:szCs w:val="28"/>
        </w:rPr>
        <w:t>罚没物品无法直接适用本办法规定处置的，执法机关与同级财政商有关部门后，提出处置方案，报上级财政部门备案。</w:t>
      </w:r>
    </w:p>
    <w:p>
      <w:pPr>
        <w:widowControl/>
        <w:rPr>
          <w:rFonts w:ascii="仿宋" w:hAnsi="仿宋" w:eastAsia="仿宋" w:cs="Helvetica"/>
          <w:kern w:val="0"/>
          <w:sz w:val="28"/>
          <w:szCs w:val="28"/>
        </w:rPr>
      </w:pPr>
      <w:r>
        <w:rPr>
          <w:rFonts w:ascii="仿宋" w:hAnsi="仿宋" w:eastAsia="仿宋" w:cs="Helvetica"/>
          <w:kern w:val="0"/>
          <w:sz w:val="28"/>
          <w:szCs w:val="28"/>
        </w:rPr>
        <w:t>第四章</w:t>
      </w:r>
      <w:r>
        <w:rPr>
          <w:rFonts w:ascii="Calibri" w:hAnsi="Calibri" w:eastAsia="仿宋" w:cs="Calibri"/>
          <w:kern w:val="0"/>
          <w:sz w:val="28"/>
          <w:szCs w:val="28"/>
        </w:rPr>
        <w:t> </w:t>
      </w:r>
      <w:r>
        <w:rPr>
          <w:rFonts w:ascii="仿宋" w:hAnsi="仿宋" w:eastAsia="仿宋" w:cs="Helvetica"/>
          <w:kern w:val="0"/>
          <w:sz w:val="28"/>
          <w:szCs w:val="28"/>
        </w:rPr>
        <w:t>罚没收入</w:t>
      </w:r>
    </w:p>
    <w:p>
      <w:pPr>
        <w:widowControl/>
        <w:rPr>
          <w:rFonts w:ascii="仿宋" w:hAnsi="仿宋" w:eastAsia="仿宋" w:cs="Helvetica"/>
          <w:kern w:val="0"/>
          <w:sz w:val="28"/>
          <w:szCs w:val="28"/>
        </w:rPr>
      </w:pPr>
      <w:r>
        <w:rPr>
          <w:rFonts w:ascii="仿宋" w:hAnsi="仿宋" w:eastAsia="仿宋" w:cs="Helvetica"/>
          <w:kern w:val="0"/>
          <w:sz w:val="28"/>
          <w:szCs w:val="28"/>
        </w:rPr>
        <w:t>  第二十四条</w:t>
      </w:r>
      <w:r>
        <w:rPr>
          <w:rFonts w:ascii="Calibri" w:hAnsi="Calibri" w:eastAsia="仿宋" w:cs="Calibri"/>
          <w:kern w:val="0"/>
          <w:sz w:val="28"/>
          <w:szCs w:val="28"/>
        </w:rPr>
        <w:t> </w:t>
      </w:r>
      <w:r>
        <w:rPr>
          <w:rFonts w:ascii="仿宋" w:hAnsi="仿宋" w:eastAsia="仿宋" w:cs="Helvetica"/>
          <w:kern w:val="0"/>
          <w:sz w:val="28"/>
          <w:szCs w:val="28"/>
        </w:rPr>
        <w:t>罚没收入属于政府非税收入，应当按照国库集中收缴管理有关规定，全额上缴国库，纳入一般公共预算管理。</w:t>
      </w:r>
    </w:p>
    <w:p>
      <w:pPr>
        <w:widowControl/>
        <w:rPr>
          <w:rFonts w:ascii="仿宋" w:hAnsi="仿宋" w:eastAsia="仿宋" w:cs="Helvetica"/>
          <w:kern w:val="0"/>
          <w:sz w:val="28"/>
          <w:szCs w:val="28"/>
        </w:rPr>
      </w:pPr>
      <w:r>
        <w:rPr>
          <w:rFonts w:ascii="仿宋" w:hAnsi="仿宋" w:eastAsia="仿宋" w:cs="Helvetica"/>
          <w:kern w:val="0"/>
          <w:sz w:val="28"/>
          <w:szCs w:val="28"/>
        </w:rPr>
        <w:t>  第二十五条</w:t>
      </w:r>
      <w:r>
        <w:rPr>
          <w:rFonts w:ascii="Calibri" w:hAnsi="Calibri" w:eastAsia="仿宋" w:cs="Calibri"/>
          <w:kern w:val="0"/>
          <w:sz w:val="28"/>
          <w:szCs w:val="28"/>
        </w:rPr>
        <w:t> </w:t>
      </w:r>
      <w:r>
        <w:rPr>
          <w:rFonts w:ascii="仿宋" w:hAnsi="仿宋" w:eastAsia="仿宋" w:cs="Helvetica"/>
          <w:kern w:val="0"/>
          <w:sz w:val="28"/>
          <w:szCs w:val="28"/>
        </w:rPr>
        <w:t>除依法可以当场收缴的罚款外，作出罚款决定的执法机关应当与收缴罚款的机构分离。</w:t>
      </w:r>
    </w:p>
    <w:p>
      <w:pPr>
        <w:widowControl/>
        <w:rPr>
          <w:rFonts w:ascii="仿宋" w:hAnsi="仿宋" w:eastAsia="仿宋" w:cs="Helvetica"/>
          <w:kern w:val="0"/>
          <w:sz w:val="28"/>
          <w:szCs w:val="28"/>
        </w:rPr>
      </w:pPr>
      <w:r>
        <w:rPr>
          <w:rFonts w:ascii="仿宋" w:hAnsi="仿宋" w:eastAsia="仿宋" w:cs="Helvetica"/>
          <w:kern w:val="0"/>
          <w:sz w:val="28"/>
          <w:szCs w:val="28"/>
        </w:rPr>
        <w:t>  第二十六条</w:t>
      </w:r>
      <w:r>
        <w:rPr>
          <w:rFonts w:ascii="Calibri" w:hAnsi="Calibri" w:eastAsia="仿宋" w:cs="Calibri"/>
          <w:kern w:val="0"/>
          <w:sz w:val="28"/>
          <w:szCs w:val="28"/>
        </w:rPr>
        <w:t> </w:t>
      </w:r>
      <w:r>
        <w:rPr>
          <w:rFonts w:ascii="仿宋" w:hAnsi="仿宋" w:eastAsia="仿宋" w:cs="Helvetica"/>
          <w:kern w:val="0"/>
          <w:sz w:val="28"/>
          <w:szCs w:val="28"/>
        </w:rPr>
        <w:t>中央与省级罚没收入的划分权限，省以下各级政府间罚没收入的划分权限，按照现行预算管理有关规定确定。法律法规另有规定的，从其规定。</w:t>
      </w:r>
    </w:p>
    <w:p>
      <w:pPr>
        <w:widowControl/>
        <w:rPr>
          <w:rFonts w:ascii="仿宋" w:hAnsi="仿宋" w:eastAsia="仿宋" w:cs="Helvetica"/>
          <w:kern w:val="0"/>
          <w:sz w:val="28"/>
          <w:szCs w:val="28"/>
        </w:rPr>
      </w:pPr>
      <w:r>
        <w:rPr>
          <w:rFonts w:ascii="仿宋" w:hAnsi="仿宋" w:eastAsia="仿宋" w:cs="Helvetica"/>
          <w:kern w:val="0"/>
          <w:sz w:val="28"/>
          <w:szCs w:val="28"/>
        </w:rPr>
        <w:t>  第二十七条</w:t>
      </w:r>
      <w:r>
        <w:rPr>
          <w:rFonts w:ascii="Calibri" w:hAnsi="Calibri" w:eastAsia="仿宋" w:cs="Calibri"/>
          <w:kern w:val="0"/>
          <w:sz w:val="28"/>
          <w:szCs w:val="28"/>
        </w:rPr>
        <w:t> </w:t>
      </w:r>
      <w:r>
        <w:rPr>
          <w:rFonts w:ascii="仿宋" w:hAnsi="仿宋" w:eastAsia="仿宋" w:cs="Helvetica"/>
          <w:kern w:val="0"/>
          <w:sz w:val="28"/>
          <w:szCs w:val="28"/>
        </w:rPr>
        <w:t>除以下情形外，罚没收入应按照执法机关的财务隶属关系缴入同级国库：</w:t>
      </w:r>
    </w:p>
    <w:p>
      <w:pPr>
        <w:widowControl/>
        <w:rPr>
          <w:rFonts w:ascii="仿宋" w:hAnsi="仿宋" w:eastAsia="仿宋" w:cs="Helvetica"/>
          <w:kern w:val="0"/>
          <w:sz w:val="28"/>
          <w:szCs w:val="28"/>
        </w:rPr>
      </w:pPr>
      <w:r>
        <w:rPr>
          <w:rFonts w:ascii="仿宋" w:hAnsi="仿宋" w:eastAsia="仿宋" w:cs="Helvetica"/>
          <w:kern w:val="0"/>
          <w:sz w:val="28"/>
          <w:szCs w:val="28"/>
        </w:rPr>
        <w:t>  （一）海关、公安、中国海警、市场监管等部门取得的缉私罚没收入全额缴入中央国库。</w:t>
      </w:r>
    </w:p>
    <w:p>
      <w:pPr>
        <w:widowControl/>
        <w:rPr>
          <w:rFonts w:ascii="仿宋" w:hAnsi="仿宋" w:eastAsia="仿宋" w:cs="Helvetica"/>
          <w:kern w:val="0"/>
          <w:sz w:val="28"/>
          <w:szCs w:val="28"/>
        </w:rPr>
      </w:pPr>
      <w:r>
        <w:rPr>
          <w:rFonts w:ascii="仿宋" w:hAnsi="仿宋" w:eastAsia="仿宋" w:cs="Helvetica"/>
          <w:kern w:val="0"/>
          <w:sz w:val="28"/>
          <w:szCs w:val="28"/>
        </w:rPr>
        <w:t>  （二）海关（除缉私外）、国家外汇管理部门、国家邮政部门、通信管理部门、气象管理部门、应急管理部所属煤矿安全监察部门、交通运输部所属海事部门中央本级取得的罚没收入全额缴入中央国库。省以下机构取得的罚没收入，50%缴入中央国库，50%缴入地方国库。</w:t>
      </w:r>
    </w:p>
    <w:p>
      <w:pPr>
        <w:widowControl/>
        <w:rPr>
          <w:rFonts w:ascii="仿宋" w:hAnsi="仿宋" w:eastAsia="仿宋" w:cs="Helvetica"/>
          <w:kern w:val="0"/>
          <w:sz w:val="28"/>
          <w:szCs w:val="28"/>
        </w:rPr>
      </w:pPr>
      <w:r>
        <w:rPr>
          <w:rFonts w:ascii="仿宋" w:hAnsi="仿宋" w:eastAsia="仿宋" w:cs="Helvetica"/>
          <w:kern w:val="0"/>
          <w:sz w:val="28"/>
          <w:szCs w:val="28"/>
        </w:rPr>
        <w:t>  （三）国家烟草专卖部门取得的罚没收入全额缴入地方国库。</w:t>
      </w:r>
    </w:p>
    <w:p>
      <w:pPr>
        <w:widowControl/>
        <w:rPr>
          <w:rFonts w:ascii="仿宋" w:hAnsi="仿宋" w:eastAsia="仿宋" w:cs="Helvetica"/>
          <w:kern w:val="0"/>
          <w:sz w:val="28"/>
          <w:szCs w:val="28"/>
        </w:rPr>
      </w:pPr>
      <w:r>
        <w:rPr>
          <w:rFonts w:ascii="仿宋" w:hAnsi="仿宋" w:eastAsia="仿宋" w:cs="Helvetica"/>
          <w:kern w:val="0"/>
          <w:sz w:val="28"/>
          <w:szCs w:val="28"/>
        </w:rPr>
        <w:t>  （四）应急管理部所属的消防救援部门取得的罚没收入，50%缴入中央国库，50%缴入地方国库。</w:t>
      </w:r>
    </w:p>
    <w:p>
      <w:pPr>
        <w:widowControl/>
        <w:rPr>
          <w:rFonts w:ascii="仿宋" w:hAnsi="仿宋" w:eastAsia="仿宋" w:cs="Helvetica"/>
          <w:kern w:val="0"/>
          <w:sz w:val="28"/>
          <w:szCs w:val="28"/>
        </w:rPr>
      </w:pPr>
      <w:r>
        <w:rPr>
          <w:rFonts w:ascii="仿宋" w:hAnsi="仿宋" w:eastAsia="仿宋" w:cs="Helvetica"/>
          <w:kern w:val="0"/>
          <w:sz w:val="28"/>
          <w:szCs w:val="28"/>
        </w:rPr>
        <w:t>  （五）国家市场监督管理总局所属的反垄断部门与地方反垄断部门联合办理或者委托地方查办的重大案件取得的罚没收入，全额缴入中央国库。</w:t>
      </w:r>
    </w:p>
    <w:p>
      <w:pPr>
        <w:widowControl/>
        <w:rPr>
          <w:rFonts w:ascii="仿宋" w:hAnsi="仿宋" w:eastAsia="仿宋" w:cs="Helvetica"/>
          <w:kern w:val="0"/>
          <w:sz w:val="28"/>
          <w:szCs w:val="28"/>
        </w:rPr>
      </w:pPr>
      <w:r>
        <w:rPr>
          <w:rFonts w:ascii="仿宋" w:hAnsi="仿宋" w:eastAsia="仿宋" w:cs="Helvetica"/>
          <w:kern w:val="0"/>
          <w:sz w:val="28"/>
          <w:szCs w:val="28"/>
        </w:rPr>
        <w:t>  （六）</w:t>
      </w:r>
      <w:r>
        <w:rPr>
          <w:rFonts w:ascii="Calibri" w:hAnsi="Calibri" w:eastAsia="仿宋" w:cs="Calibri"/>
          <w:kern w:val="0"/>
          <w:sz w:val="28"/>
          <w:szCs w:val="28"/>
        </w:rPr>
        <w:t> </w:t>
      </w:r>
      <w:r>
        <w:rPr>
          <w:rFonts w:ascii="仿宋" w:hAnsi="仿宋" w:eastAsia="仿宋" w:cs="Helvetica"/>
          <w:kern w:val="0"/>
          <w:sz w:val="28"/>
          <w:szCs w:val="28"/>
        </w:rPr>
        <w:t>国有企业、事业单位监察机构没收、追缴的违法所得，按照国有企业、事业单位隶属关系全额缴入中央或者地方国库。</w:t>
      </w:r>
    </w:p>
    <w:p>
      <w:pPr>
        <w:widowControl/>
        <w:rPr>
          <w:rFonts w:ascii="仿宋" w:hAnsi="仿宋" w:eastAsia="仿宋" w:cs="Helvetica"/>
          <w:kern w:val="0"/>
          <w:sz w:val="28"/>
          <w:szCs w:val="28"/>
        </w:rPr>
      </w:pPr>
      <w:r>
        <w:rPr>
          <w:rFonts w:ascii="仿宋" w:hAnsi="仿宋" w:eastAsia="仿宋" w:cs="Helvetica"/>
          <w:kern w:val="0"/>
          <w:sz w:val="28"/>
          <w:szCs w:val="28"/>
        </w:rPr>
        <w:t>  （七）中央政法机关交办案件按照有关规定执行。</w:t>
      </w:r>
    </w:p>
    <w:p>
      <w:pPr>
        <w:widowControl/>
        <w:rPr>
          <w:rFonts w:ascii="仿宋" w:hAnsi="仿宋" w:eastAsia="仿宋" w:cs="Helvetica"/>
          <w:kern w:val="0"/>
          <w:sz w:val="28"/>
          <w:szCs w:val="28"/>
        </w:rPr>
      </w:pPr>
      <w:r>
        <w:rPr>
          <w:rFonts w:ascii="仿宋" w:hAnsi="仿宋" w:eastAsia="仿宋" w:cs="Helvetica"/>
          <w:kern w:val="0"/>
          <w:sz w:val="28"/>
          <w:szCs w:val="28"/>
        </w:rPr>
        <w:t>  （八）财政部规定的其他情形。</w:t>
      </w:r>
    </w:p>
    <w:p>
      <w:pPr>
        <w:widowControl/>
        <w:rPr>
          <w:rFonts w:ascii="仿宋" w:hAnsi="仿宋" w:eastAsia="仿宋" w:cs="Helvetica"/>
          <w:kern w:val="0"/>
          <w:sz w:val="28"/>
          <w:szCs w:val="28"/>
        </w:rPr>
      </w:pPr>
      <w:r>
        <w:rPr>
          <w:rFonts w:ascii="仿宋" w:hAnsi="仿宋" w:eastAsia="仿宋" w:cs="Helvetica"/>
          <w:kern w:val="0"/>
          <w:sz w:val="28"/>
          <w:szCs w:val="28"/>
        </w:rPr>
        <w:t>  第二十八条</w:t>
      </w:r>
      <w:r>
        <w:rPr>
          <w:rFonts w:ascii="Calibri" w:hAnsi="Calibri" w:eastAsia="仿宋" w:cs="Calibri"/>
          <w:kern w:val="0"/>
          <w:sz w:val="28"/>
          <w:szCs w:val="28"/>
        </w:rPr>
        <w:t> </w:t>
      </w:r>
      <w:r>
        <w:rPr>
          <w:rFonts w:ascii="仿宋" w:hAnsi="仿宋" w:eastAsia="仿宋" w:cs="Helvetica"/>
          <w:kern w:val="0"/>
          <w:sz w:val="28"/>
          <w:szCs w:val="28"/>
        </w:rPr>
        <w:t>罚没物品处置收入，可以按扣除处置该罚没物品直接支出后的余额，作为罚没收入上缴；政府预算已经安排罚没物品处置专项经费的，不得扣除处置该罚没物品的直接支出。</w:t>
      </w:r>
    </w:p>
    <w:p>
      <w:pPr>
        <w:widowControl/>
        <w:rPr>
          <w:rFonts w:ascii="仿宋" w:hAnsi="仿宋" w:eastAsia="仿宋" w:cs="Helvetica"/>
          <w:kern w:val="0"/>
          <w:sz w:val="28"/>
          <w:szCs w:val="28"/>
        </w:rPr>
      </w:pPr>
      <w:r>
        <w:rPr>
          <w:rFonts w:ascii="仿宋" w:hAnsi="仿宋" w:eastAsia="仿宋" w:cs="Helvetica"/>
          <w:kern w:val="0"/>
          <w:sz w:val="28"/>
          <w:szCs w:val="28"/>
        </w:rPr>
        <w:t>  前款所称处置罚没物品直接支出包括质量鉴定、评估和必要的修复费用。</w:t>
      </w:r>
    </w:p>
    <w:p>
      <w:pPr>
        <w:widowControl/>
        <w:rPr>
          <w:rFonts w:ascii="仿宋" w:hAnsi="仿宋" w:eastAsia="仿宋" w:cs="Helvetica"/>
          <w:kern w:val="0"/>
          <w:sz w:val="28"/>
          <w:szCs w:val="28"/>
        </w:rPr>
      </w:pPr>
      <w:r>
        <w:rPr>
          <w:rFonts w:ascii="仿宋" w:hAnsi="仿宋" w:eastAsia="仿宋" w:cs="Helvetica"/>
          <w:kern w:val="0"/>
          <w:sz w:val="28"/>
          <w:szCs w:val="28"/>
        </w:rPr>
        <w:t>  第二十九条</w:t>
      </w:r>
      <w:r>
        <w:rPr>
          <w:rFonts w:ascii="Calibri" w:hAnsi="Calibri" w:eastAsia="仿宋" w:cs="Calibri"/>
          <w:kern w:val="0"/>
          <w:sz w:val="28"/>
          <w:szCs w:val="28"/>
        </w:rPr>
        <w:t> </w:t>
      </w:r>
      <w:r>
        <w:rPr>
          <w:rFonts w:ascii="仿宋" w:hAnsi="仿宋" w:eastAsia="仿宋" w:cs="Helvetica"/>
          <w:kern w:val="0"/>
          <w:sz w:val="28"/>
          <w:szCs w:val="28"/>
        </w:rPr>
        <w:t>罚没收入的缴库，按下列规定执行：</w:t>
      </w:r>
    </w:p>
    <w:p>
      <w:pPr>
        <w:widowControl/>
        <w:rPr>
          <w:rFonts w:ascii="仿宋" w:hAnsi="仿宋" w:eastAsia="仿宋" w:cs="Helvetica"/>
          <w:kern w:val="0"/>
          <w:sz w:val="28"/>
          <w:szCs w:val="28"/>
        </w:rPr>
      </w:pPr>
      <w:r>
        <w:rPr>
          <w:rFonts w:ascii="仿宋" w:hAnsi="仿宋" w:eastAsia="仿宋" w:cs="Helvetica"/>
          <w:kern w:val="0"/>
          <w:sz w:val="28"/>
          <w:szCs w:val="28"/>
        </w:rPr>
        <w:t>  （一）执法机关取得的罚没收入，除当场收缴的罚款和财政部另有规定外，应当在取得之日缴入财政专户或者国库；</w:t>
      </w:r>
    </w:p>
    <w:p>
      <w:pPr>
        <w:widowControl/>
        <w:rPr>
          <w:rFonts w:ascii="仿宋" w:hAnsi="仿宋" w:eastAsia="仿宋" w:cs="Helvetica"/>
          <w:kern w:val="0"/>
          <w:sz w:val="28"/>
          <w:szCs w:val="28"/>
        </w:rPr>
      </w:pPr>
      <w:r>
        <w:rPr>
          <w:rFonts w:ascii="仿宋" w:hAnsi="仿宋" w:eastAsia="仿宋" w:cs="Helvetica"/>
          <w:kern w:val="0"/>
          <w:sz w:val="28"/>
          <w:szCs w:val="28"/>
        </w:rPr>
        <w:t>  （二）执法人员依法当场收缴罚款的，执法机关应当自收到款项之日起2个工作日内缴入财政专户或者国库；</w:t>
      </w:r>
    </w:p>
    <w:p>
      <w:pPr>
        <w:widowControl/>
        <w:rPr>
          <w:rFonts w:ascii="仿宋" w:hAnsi="仿宋" w:eastAsia="仿宋" w:cs="Helvetica"/>
          <w:kern w:val="0"/>
          <w:sz w:val="28"/>
          <w:szCs w:val="28"/>
        </w:rPr>
      </w:pPr>
      <w:r>
        <w:rPr>
          <w:rFonts w:ascii="仿宋" w:hAnsi="仿宋" w:eastAsia="仿宋" w:cs="Helvetica"/>
          <w:kern w:val="0"/>
          <w:sz w:val="28"/>
          <w:szCs w:val="28"/>
        </w:rPr>
        <w:t>  （三）委托拍卖机构拍卖罚没物品取得的变价款，由委托方自收到款项之日起2个工作日内缴入财政专户或者国库。</w:t>
      </w:r>
    </w:p>
    <w:p>
      <w:pPr>
        <w:widowControl/>
        <w:rPr>
          <w:rFonts w:ascii="仿宋" w:hAnsi="仿宋" w:eastAsia="仿宋" w:cs="Helvetica"/>
          <w:kern w:val="0"/>
          <w:sz w:val="28"/>
          <w:szCs w:val="28"/>
        </w:rPr>
      </w:pPr>
      <w:r>
        <w:rPr>
          <w:rFonts w:ascii="仿宋" w:hAnsi="仿宋" w:eastAsia="仿宋" w:cs="Helvetica"/>
          <w:kern w:val="0"/>
          <w:sz w:val="28"/>
          <w:szCs w:val="28"/>
        </w:rPr>
        <w:t>  第三十条</w:t>
      </w:r>
      <w:r>
        <w:rPr>
          <w:rFonts w:ascii="Calibri" w:hAnsi="Calibri" w:eastAsia="仿宋" w:cs="Calibri"/>
          <w:kern w:val="0"/>
          <w:sz w:val="28"/>
          <w:szCs w:val="28"/>
        </w:rPr>
        <w:t> </w:t>
      </w:r>
      <w:r>
        <w:rPr>
          <w:rFonts w:ascii="仿宋" w:hAnsi="仿宋" w:eastAsia="仿宋" w:cs="Helvetica"/>
          <w:kern w:val="0"/>
          <w:sz w:val="28"/>
          <w:szCs w:val="28"/>
        </w:rPr>
        <w:t>政府预算收入中罚没收入预算为预测性指标，不作为收入任务指标下达。执法机关的办案经费由本级政府预算统筹保障，执法机关经费预算安排不得与该单位任何年度上缴的罚没收入挂钩。</w:t>
      </w:r>
    </w:p>
    <w:p>
      <w:pPr>
        <w:widowControl/>
        <w:rPr>
          <w:rFonts w:ascii="仿宋" w:hAnsi="仿宋" w:eastAsia="仿宋" w:cs="Helvetica"/>
          <w:kern w:val="0"/>
          <w:sz w:val="28"/>
          <w:szCs w:val="28"/>
        </w:rPr>
      </w:pPr>
      <w:r>
        <w:rPr>
          <w:rFonts w:ascii="仿宋" w:hAnsi="仿宋" w:eastAsia="仿宋" w:cs="Helvetica"/>
          <w:kern w:val="0"/>
          <w:sz w:val="28"/>
          <w:szCs w:val="28"/>
        </w:rPr>
        <w:t>  第三十一条</w:t>
      </w:r>
      <w:r>
        <w:rPr>
          <w:rFonts w:ascii="Calibri" w:hAnsi="Calibri" w:eastAsia="仿宋" w:cs="Calibri"/>
          <w:kern w:val="0"/>
          <w:sz w:val="28"/>
          <w:szCs w:val="28"/>
        </w:rPr>
        <w:t> </w:t>
      </w:r>
      <w:r>
        <w:rPr>
          <w:rFonts w:ascii="仿宋" w:hAnsi="仿宋" w:eastAsia="仿宋" w:cs="Helvetica"/>
          <w:kern w:val="0"/>
          <w:sz w:val="28"/>
          <w:szCs w:val="28"/>
        </w:rPr>
        <w:t>依法退还多缴、错缴等罚没收入，应当按照本级财政部门有关规定办理。</w:t>
      </w:r>
    </w:p>
    <w:p>
      <w:pPr>
        <w:widowControl/>
        <w:rPr>
          <w:rFonts w:ascii="仿宋" w:hAnsi="仿宋" w:eastAsia="仿宋" w:cs="Helvetica"/>
          <w:kern w:val="0"/>
          <w:sz w:val="28"/>
          <w:szCs w:val="28"/>
        </w:rPr>
      </w:pPr>
      <w:r>
        <w:rPr>
          <w:rFonts w:ascii="仿宋" w:hAnsi="仿宋" w:eastAsia="仿宋" w:cs="Helvetica"/>
          <w:kern w:val="0"/>
          <w:sz w:val="28"/>
          <w:szCs w:val="28"/>
        </w:rPr>
        <w:t>  第三十二条</w:t>
      </w:r>
      <w:r>
        <w:rPr>
          <w:rFonts w:ascii="Calibri" w:hAnsi="Calibri" w:eastAsia="仿宋" w:cs="Calibri"/>
          <w:kern w:val="0"/>
          <w:sz w:val="28"/>
          <w:szCs w:val="28"/>
        </w:rPr>
        <w:t> </w:t>
      </w:r>
      <w:r>
        <w:rPr>
          <w:rFonts w:ascii="仿宋" w:hAnsi="仿宋" w:eastAsia="仿宋" w:cs="Helvetica"/>
          <w:kern w:val="0"/>
          <w:sz w:val="28"/>
          <w:szCs w:val="28"/>
        </w:rPr>
        <w:t>执法机关在罚没财物管理工作中，应当按照规定使用财政部门相关票据。</w:t>
      </w:r>
    </w:p>
    <w:p>
      <w:pPr>
        <w:widowControl/>
        <w:rPr>
          <w:rFonts w:ascii="仿宋" w:hAnsi="仿宋" w:eastAsia="仿宋" w:cs="Helvetica"/>
          <w:kern w:val="0"/>
          <w:sz w:val="28"/>
          <w:szCs w:val="28"/>
        </w:rPr>
      </w:pPr>
      <w:r>
        <w:rPr>
          <w:rFonts w:ascii="仿宋" w:hAnsi="仿宋" w:eastAsia="仿宋" w:cs="Helvetica"/>
          <w:kern w:val="0"/>
          <w:sz w:val="28"/>
          <w:szCs w:val="28"/>
        </w:rPr>
        <w:t>  第三十三条</w:t>
      </w:r>
      <w:r>
        <w:rPr>
          <w:rFonts w:ascii="Calibri" w:hAnsi="Calibri" w:eastAsia="仿宋" w:cs="Calibri"/>
          <w:kern w:val="0"/>
          <w:sz w:val="28"/>
          <w:szCs w:val="28"/>
        </w:rPr>
        <w:t> </w:t>
      </w:r>
      <w:r>
        <w:rPr>
          <w:rFonts w:ascii="仿宋" w:hAnsi="仿宋" w:eastAsia="仿宋" w:cs="Helvetica"/>
          <w:kern w:val="0"/>
          <w:sz w:val="28"/>
          <w:szCs w:val="28"/>
        </w:rPr>
        <w:t>对向执法机关检举、揭发各类违法案件的人员，经查实后，按照相关规定给予奖励，奖励经费不得从案件罚没收入中列支。</w:t>
      </w:r>
    </w:p>
    <w:p>
      <w:pPr>
        <w:widowControl/>
        <w:rPr>
          <w:rFonts w:ascii="仿宋" w:hAnsi="仿宋" w:eastAsia="仿宋" w:cs="Helvetica"/>
          <w:kern w:val="0"/>
          <w:sz w:val="28"/>
          <w:szCs w:val="28"/>
        </w:rPr>
      </w:pPr>
      <w:r>
        <w:rPr>
          <w:rFonts w:ascii="仿宋" w:hAnsi="仿宋" w:eastAsia="仿宋" w:cs="Helvetica"/>
          <w:kern w:val="0"/>
          <w:sz w:val="28"/>
          <w:szCs w:val="28"/>
        </w:rPr>
        <w:t>第五章</w:t>
      </w:r>
      <w:r>
        <w:rPr>
          <w:rFonts w:ascii="Calibri" w:hAnsi="Calibri" w:eastAsia="仿宋" w:cs="Calibri"/>
          <w:kern w:val="0"/>
          <w:sz w:val="28"/>
          <w:szCs w:val="28"/>
        </w:rPr>
        <w:t> </w:t>
      </w:r>
      <w:r>
        <w:rPr>
          <w:rFonts w:ascii="仿宋" w:hAnsi="仿宋" w:eastAsia="仿宋" w:cs="Helvetica"/>
          <w:kern w:val="0"/>
          <w:sz w:val="28"/>
          <w:szCs w:val="28"/>
        </w:rPr>
        <w:t>附则</w:t>
      </w:r>
    </w:p>
    <w:p>
      <w:pPr>
        <w:widowControl/>
        <w:rPr>
          <w:rFonts w:ascii="仿宋" w:hAnsi="仿宋" w:eastAsia="仿宋" w:cs="Helvetica"/>
          <w:kern w:val="0"/>
          <w:sz w:val="28"/>
          <w:szCs w:val="28"/>
        </w:rPr>
      </w:pPr>
      <w:r>
        <w:rPr>
          <w:rFonts w:ascii="仿宋" w:hAnsi="仿宋" w:eastAsia="仿宋" w:cs="Helvetica"/>
          <w:kern w:val="0"/>
          <w:sz w:val="28"/>
          <w:szCs w:val="28"/>
        </w:rPr>
        <w:t>  第三十四条</w:t>
      </w:r>
      <w:r>
        <w:rPr>
          <w:rFonts w:ascii="Calibri" w:hAnsi="Calibri" w:eastAsia="仿宋" w:cs="Calibri"/>
          <w:kern w:val="0"/>
          <w:sz w:val="28"/>
          <w:szCs w:val="28"/>
        </w:rPr>
        <w:t> </w:t>
      </w:r>
      <w:r>
        <w:rPr>
          <w:rFonts w:ascii="仿宋" w:hAnsi="仿宋" w:eastAsia="仿宋" w:cs="Helvetica"/>
          <w:kern w:val="0"/>
          <w:sz w:val="28"/>
          <w:szCs w:val="28"/>
        </w:rPr>
        <w:t>各级财政部门、执法机关、政府公物仓及其工作人员在罚没财物管理、处置工作中，存在违反本办法规定的行为，以及其他滥用职权、玩忽职守、徇私舞弊等违法违纪行为的，按照《中华人民共和国监察法》、《财政违法行为处罚处分条例》等国家有关规定追究相应责任；构成犯罪的，依法追究刑事责任。</w:t>
      </w:r>
    </w:p>
    <w:p>
      <w:pPr>
        <w:widowControl/>
        <w:rPr>
          <w:rFonts w:ascii="仿宋" w:hAnsi="仿宋" w:eastAsia="仿宋" w:cs="Helvetica"/>
          <w:kern w:val="0"/>
          <w:sz w:val="28"/>
          <w:szCs w:val="28"/>
        </w:rPr>
      </w:pPr>
      <w:r>
        <w:rPr>
          <w:rFonts w:ascii="仿宋" w:hAnsi="仿宋" w:eastAsia="仿宋" w:cs="Helvetica"/>
          <w:kern w:val="0"/>
          <w:sz w:val="28"/>
          <w:szCs w:val="28"/>
        </w:rPr>
        <w:t>  第三十五条</w:t>
      </w:r>
      <w:r>
        <w:rPr>
          <w:rFonts w:ascii="Calibri" w:hAnsi="Calibri" w:eastAsia="仿宋" w:cs="Calibri"/>
          <w:kern w:val="0"/>
          <w:sz w:val="28"/>
          <w:szCs w:val="28"/>
        </w:rPr>
        <w:t> </w:t>
      </w:r>
      <w:r>
        <w:rPr>
          <w:rFonts w:ascii="仿宋" w:hAnsi="仿宋" w:eastAsia="仿宋" w:cs="Helvetica"/>
          <w:kern w:val="0"/>
          <w:sz w:val="28"/>
          <w:szCs w:val="28"/>
        </w:rPr>
        <w:t>执法机关扣押的涉案财物，有关单位、个人向执法机关声明放弃的或者无人认领的财物；党的纪律检查机关依据党内法规收缴的违纪所得以及按规定登记上交的礼品、礼金等财物；党政机关收到的采购、人事等合同违约金；党政机关根据国家赔偿法履行赔偿义务之后向故意或者有重大过失的工作人员、受委托的组织或者个人追偿的赔偿款等，参照罚没财物管理。国家另有规定的除外。</w:t>
      </w:r>
    </w:p>
    <w:p>
      <w:pPr>
        <w:widowControl/>
        <w:rPr>
          <w:rFonts w:ascii="仿宋" w:hAnsi="仿宋" w:eastAsia="仿宋" w:cs="Helvetica"/>
          <w:kern w:val="0"/>
          <w:sz w:val="28"/>
          <w:szCs w:val="28"/>
        </w:rPr>
      </w:pPr>
      <w:r>
        <w:rPr>
          <w:rFonts w:ascii="仿宋" w:hAnsi="仿宋" w:eastAsia="仿宋" w:cs="Helvetica"/>
          <w:kern w:val="0"/>
          <w:sz w:val="28"/>
          <w:szCs w:val="28"/>
        </w:rPr>
        <w:t>  国有企业、事业单位党的纪检机构依据党内法规收缴的违纪所得，以及按规定登记上交的礼品、礼金等财物，按照国有企业、事业单位隶属关系全额缴入中央或者地方国库。</w:t>
      </w:r>
    </w:p>
    <w:p>
      <w:pPr>
        <w:widowControl/>
        <w:rPr>
          <w:rFonts w:ascii="仿宋" w:hAnsi="仿宋" w:eastAsia="仿宋" w:cs="Helvetica"/>
          <w:kern w:val="0"/>
          <w:sz w:val="28"/>
          <w:szCs w:val="28"/>
        </w:rPr>
      </w:pPr>
      <w:r>
        <w:rPr>
          <w:rFonts w:ascii="仿宋" w:hAnsi="仿宋" w:eastAsia="仿宋" w:cs="Helvetica"/>
          <w:kern w:val="0"/>
          <w:sz w:val="28"/>
          <w:szCs w:val="28"/>
        </w:rPr>
        <w:t>  第三十六条</w:t>
      </w:r>
      <w:r>
        <w:rPr>
          <w:rFonts w:ascii="Calibri" w:hAnsi="Calibri" w:eastAsia="仿宋" w:cs="Calibri"/>
          <w:kern w:val="0"/>
          <w:sz w:val="28"/>
          <w:szCs w:val="28"/>
        </w:rPr>
        <w:t> </w:t>
      </w:r>
      <w:r>
        <w:rPr>
          <w:rFonts w:ascii="仿宋" w:hAnsi="仿宋" w:eastAsia="仿宋" w:cs="Helvetica"/>
          <w:kern w:val="0"/>
          <w:sz w:val="28"/>
          <w:szCs w:val="28"/>
        </w:rPr>
        <w:t>本办法自2021年1月1日起实施。</w:t>
      </w:r>
    </w:p>
    <w:p>
      <w:pPr>
        <w:widowControl/>
        <w:rPr>
          <w:rFonts w:ascii="仿宋" w:hAnsi="仿宋" w:eastAsia="仿宋" w:cs="Helvetica"/>
          <w:kern w:val="0"/>
          <w:sz w:val="28"/>
          <w:szCs w:val="28"/>
        </w:rPr>
      </w:pPr>
      <w:r>
        <w:rPr>
          <w:rFonts w:ascii="仿宋" w:hAnsi="仿宋" w:eastAsia="仿宋" w:cs="Helvetica"/>
          <w:kern w:val="0"/>
          <w:sz w:val="28"/>
          <w:szCs w:val="28"/>
        </w:rPr>
        <w:t>  本办法实施前已经形成的罚没财物，尚未处置的，按照本办法执行。</w:t>
      </w:r>
    </w:p>
    <w:p>
      <w:pPr>
        <w:numPr>
          <w:ilvl w:val="0"/>
          <w:numId w:val="0"/>
        </w:numPr>
        <w:jc w:val="center"/>
        <w:rPr>
          <w:rFonts w:hint="eastAsia" w:ascii="宋体" w:hAnsi="宋体" w:eastAsia="宋体" w:cs="宋体"/>
          <w:b/>
          <w:bCs/>
          <w:sz w:val="36"/>
          <w:szCs w:val="36"/>
        </w:rPr>
      </w:pPr>
    </w:p>
    <w:p>
      <w:pPr>
        <w:numPr>
          <w:ilvl w:val="0"/>
          <w:numId w:val="0"/>
        </w:numPr>
        <w:jc w:val="center"/>
        <w:rPr>
          <w:rFonts w:hint="eastAsia" w:ascii="宋体" w:hAnsi="宋体" w:eastAsia="宋体" w:cs="宋体"/>
          <w:b/>
          <w:bCs/>
          <w:color w:val="auto"/>
          <w:sz w:val="36"/>
          <w:szCs w:val="36"/>
        </w:rPr>
      </w:pPr>
      <w:r>
        <w:rPr>
          <w:rFonts w:hint="eastAsia" w:ascii="宋体" w:hAnsi="宋体" w:eastAsia="宋体" w:cs="宋体"/>
          <w:b/>
          <w:bCs/>
          <w:sz w:val="36"/>
          <w:szCs w:val="36"/>
        </w:rPr>
        <w:t>全区拍卖行业</w:t>
      </w:r>
      <w:r>
        <w:rPr>
          <w:rFonts w:hint="eastAsia" w:ascii="宋体" w:hAnsi="宋体" w:eastAsia="宋体" w:cs="宋体"/>
          <w:b/>
          <w:bCs/>
          <w:sz w:val="36"/>
          <w:szCs w:val="36"/>
          <w:lang w:val="en-US" w:eastAsia="zh-CN"/>
        </w:rPr>
        <w:t>2020年</w:t>
      </w:r>
      <w:r>
        <w:rPr>
          <w:rFonts w:hint="eastAsia" w:ascii="宋体" w:hAnsi="宋体" w:eastAsia="宋体" w:cs="宋体"/>
          <w:b/>
          <w:bCs/>
          <w:sz w:val="36"/>
          <w:szCs w:val="36"/>
        </w:rPr>
        <w:t>1-</w:t>
      </w:r>
      <w:r>
        <w:rPr>
          <w:rFonts w:hint="eastAsia" w:ascii="宋体" w:hAnsi="宋体" w:eastAsia="宋体" w:cs="宋体"/>
          <w:b/>
          <w:bCs/>
          <w:sz w:val="36"/>
          <w:szCs w:val="36"/>
          <w:lang w:val="en-US" w:eastAsia="zh-CN"/>
        </w:rPr>
        <w:t>12</w:t>
      </w:r>
      <w:r>
        <w:rPr>
          <w:rFonts w:hint="eastAsia" w:ascii="宋体" w:hAnsi="宋体" w:eastAsia="宋体" w:cs="宋体"/>
          <w:b/>
          <w:bCs/>
          <w:sz w:val="36"/>
          <w:szCs w:val="36"/>
        </w:rPr>
        <w:t>月份经营统计数据分析</w:t>
      </w:r>
    </w:p>
    <w:p>
      <w:pPr>
        <w:numPr>
          <w:ilvl w:val="0"/>
          <w:numId w:val="0"/>
        </w:numPr>
        <w:ind w:firstLine="560" w:firstLineChars="200"/>
        <w:jc w:val="both"/>
        <w:rPr>
          <w:rFonts w:hint="eastAsia" w:asciiTheme="minorEastAsia" w:hAnsiTheme="minorEastAsia" w:cstheme="minorEastAsia"/>
          <w:b w:val="0"/>
          <w:bCs w:val="0"/>
          <w:color w:val="auto"/>
          <w:sz w:val="28"/>
          <w:szCs w:val="28"/>
          <w:lang w:val="en-US" w:eastAsia="zh-CN"/>
        </w:rPr>
      </w:pPr>
    </w:p>
    <w:p>
      <w:pPr>
        <w:numPr>
          <w:ilvl w:val="0"/>
          <w:numId w:val="0"/>
        </w:numPr>
        <w:ind w:firstLine="560" w:firstLineChars="200"/>
        <w:jc w:val="both"/>
        <w:rPr>
          <w:rFonts w:hint="eastAsia" w:eastAsiaTheme="minorEastAsia"/>
          <w:sz w:val="28"/>
          <w:szCs w:val="28"/>
          <w:lang w:eastAsia="zh-CN"/>
        </w:rPr>
      </w:pPr>
      <w:r>
        <w:rPr>
          <w:rFonts w:hint="eastAsia" w:asciiTheme="minorEastAsia" w:hAnsiTheme="minorEastAsia" w:cstheme="minorEastAsia"/>
          <w:b w:val="0"/>
          <w:bCs w:val="0"/>
          <w:color w:val="auto"/>
          <w:sz w:val="28"/>
          <w:szCs w:val="28"/>
          <w:lang w:val="en-US" w:eastAsia="zh-CN"/>
        </w:rPr>
        <w:t>面对猝不及防的新冠疫情和随之而来的市场大变局，我区全年</w:t>
      </w:r>
      <w:r>
        <w:rPr>
          <w:rFonts w:hint="eastAsia"/>
          <w:sz w:val="28"/>
          <w:szCs w:val="28"/>
        </w:rPr>
        <w:t>实现成交额</w:t>
      </w:r>
      <w:r>
        <w:rPr>
          <w:rFonts w:hint="eastAsia" w:ascii="微软雅黑" w:hAnsi="微软雅黑" w:eastAsia="微软雅黑" w:cs="微软雅黑"/>
          <w:i w:val="0"/>
          <w:caps w:val="0"/>
          <w:color w:val="000000"/>
          <w:spacing w:val="0"/>
          <w:sz w:val="27"/>
          <w:szCs w:val="27"/>
        </w:rPr>
        <w:t>687298.23</w:t>
      </w:r>
      <w:r>
        <w:rPr>
          <w:rFonts w:hint="eastAsia"/>
          <w:sz w:val="28"/>
          <w:szCs w:val="28"/>
        </w:rPr>
        <w:t>万元，较去年同期</w:t>
      </w:r>
      <w:r>
        <w:rPr>
          <w:rFonts w:hint="eastAsia"/>
          <w:sz w:val="28"/>
          <w:szCs w:val="28"/>
          <w:lang w:val="en-US" w:eastAsia="zh-CN"/>
        </w:rPr>
        <w:t>下降</w:t>
      </w:r>
      <w:r>
        <w:rPr>
          <w:rFonts w:hint="eastAsia"/>
          <w:sz w:val="28"/>
          <w:szCs w:val="28"/>
          <w:lang w:eastAsia="zh-CN"/>
        </w:rPr>
        <w:t>了</w:t>
      </w:r>
      <w:r>
        <w:rPr>
          <w:rFonts w:hint="eastAsia"/>
          <w:sz w:val="28"/>
          <w:szCs w:val="28"/>
          <w:lang w:val="en-US" w:eastAsia="zh-CN"/>
        </w:rPr>
        <w:t>31.34</w:t>
      </w:r>
      <w:r>
        <w:rPr>
          <w:rFonts w:hint="eastAsia"/>
          <w:sz w:val="28"/>
          <w:szCs w:val="28"/>
        </w:rPr>
        <w:t>%</w:t>
      </w:r>
      <w:r>
        <w:rPr>
          <w:rFonts w:hint="eastAsia"/>
          <w:sz w:val="28"/>
          <w:szCs w:val="28"/>
          <w:lang w:eastAsia="zh-CN"/>
        </w:rPr>
        <w:t>；</w:t>
      </w:r>
      <w:r>
        <w:rPr>
          <w:rFonts w:hint="eastAsia"/>
          <w:sz w:val="28"/>
          <w:szCs w:val="28"/>
        </w:rPr>
        <w:t>全区拍卖成交</w:t>
      </w:r>
      <w:r>
        <w:rPr>
          <w:rFonts w:hint="eastAsia"/>
          <w:sz w:val="28"/>
          <w:szCs w:val="28"/>
          <w:lang w:val="en-US" w:eastAsia="zh-CN"/>
        </w:rPr>
        <w:t>1445</w:t>
      </w:r>
      <w:r>
        <w:rPr>
          <w:rFonts w:hint="eastAsia"/>
          <w:sz w:val="28"/>
          <w:szCs w:val="28"/>
        </w:rPr>
        <w:t>场，同比</w:t>
      </w:r>
      <w:r>
        <w:rPr>
          <w:rFonts w:hint="eastAsia"/>
          <w:sz w:val="28"/>
          <w:szCs w:val="28"/>
          <w:lang w:val="en-US" w:eastAsia="zh-CN"/>
        </w:rPr>
        <w:t>增长了16.91</w:t>
      </w:r>
      <w:r>
        <w:rPr>
          <w:rFonts w:hint="eastAsia"/>
          <w:sz w:val="28"/>
          <w:szCs w:val="28"/>
        </w:rPr>
        <w:t>% ;流拍</w:t>
      </w:r>
      <w:r>
        <w:rPr>
          <w:rFonts w:hint="eastAsia"/>
          <w:sz w:val="28"/>
          <w:szCs w:val="28"/>
          <w:lang w:val="en-US" w:eastAsia="zh-CN"/>
        </w:rPr>
        <w:t>275</w:t>
      </w:r>
      <w:r>
        <w:rPr>
          <w:rFonts w:hint="eastAsia"/>
          <w:sz w:val="28"/>
          <w:szCs w:val="28"/>
        </w:rPr>
        <w:t>场，同比下降</w:t>
      </w:r>
      <w:r>
        <w:rPr>
          <w:rFonts w:hint="eastAsia"/>
          <w:sz w:val="28"/>
          <w:szCs w:val="28"/>
          <w:lang w:val="en-US" w:eastAsia="zh-CN"/>
        </w:rPr>
        <w:t>19.35</w:t>
      </w:r>
      <w:r>
        <w:rPr>
          <w:rFonts w:hint="eastAsia"/>
          <w:sz w:val="28"/>
          <w:szCs w:val="28"/>
        </w:rPr>
        <w:t>%</w:t>
      </w:r>
      <w:r>
        <w:rPr>
          <w:rFonts w:hint="eastAsia"/>
          <w:sz w:val="28"/>
          <w:szCs w:val="28"/>
          <w:lang w:eastAsia="zh-CN"/>
        </w:rPr>
        <w:t>；</w:t>
      </w:r>
      <w:r>
        <w:rPr>
          <w:rFonts w:hint="eastAsia"/>
          <w:sz w:val="28"/>
          <w:szCs w:val="28"/>
        </w:rPr>
        <w:t>上缴税收</w:t>
      </w:r>
      <w:r>
        <w:rPr>
          <w:rFonts w:hint="eastAsia" w:ascii="微软雅黑" w:hAnsi="微软雅黑" w:eastAsia="微软雅黑" w:cs="微软雅黑"/>
          <w:i w:val="0"/>
          <w:caps w:val="0"/>
          <w:color w:val="000000"/>
          <w:spacing w:val="0"/>
          <w:sz w:val="27"/>
          <w:szCs w:val="27"/>
        </w:rPr>
        <w:t>34.8</w:t>
      </w:r>
      <w:r>
        <w:rPr>
          <w:rFonts w:hint="eastAsia" w:ascii="微软雅黑" w:hAnsi="微软雅黑" w:eastAsia="微软雅黑" w:cs="微软雅黑"/>
          <w:i w:val="0"/>
          <w:caps w:val="0"/>
          <w:color w:val="000000"/>
          <w:spacing w:val="0"/>
          <w:sz w:val="27"/>
          <w:szCs w:val="27"/>
          <w:lang w:val="en-US" w:eastAsia="zh-CN"/>
        </w:rPr>
        <w:t>5</w:t>
      </w:r>
      <w:r>
        <w:rPr>
          <w:rFonts w:hint="eastAsia"/>
          <w:sz w:val="28"/>
          <w:szCs w:val="28"/>
        </w:rPr>
        <w:t>万元，</w:t>
      </w:r>
      <w:r>
        <w:rPr>
          <w:rFonts w:hint="eastAsia"/>
          <w:sz w:val="28"/>
          <w:szCs w:val="28"/>
          <w:lang w:eastAsia="zh-CN"/>
        </w:rPr>
        <w:t>较去年</w:t>
      </w:r>
      <w:r>
        <w:rPr>
          <w:rFonts w:hint="eastAsia"/>
          <w:sz w:val="28"/>
          <w:szCs w:val="28"/>
          <w:lang w:val="en-US" w:eastAsia="zh-CN"/>
        </w:rPr>
        <w:t>同期下降</w:t>
      </w:r>
      <w:r>
        <w:rPr>
          <w:rFonts w:hint="eastAsia"/>
          <w:sz w:val="28"/>
          <w:szCs w:val="28"/>
          <w:lang w:eastAsia="zh-CN"/>
        </w:rPr>
        <w:t>了</w:t>
      </w:r>
      <w:r>
        <w:rPr>
          <w:rFonts w:hint="eastAsia"/>
          <w:sz w:val="28"/>
          <w:szCs w:val="28"/>
          <w:lang w:val="en-US" w:eastAsia="zh-CN"/>
        </w:rPr>
        <w:t>16.76</w:t>
      </w:r>
      <w:r>
        <w:rPr>
          <w:rFonts w:hint="eastAsia"/>
          <w:sz w:val="28"/>
          <w:szCs w:val="28"/>
        </w:rPr>
        <w:t>%</w:t>
      </w:r>
      <w:r>
        <w:rPr>
          <w:rFonts w:hint="eastAsia"/>
          <w:sz w:val="28"/>
          <w:szCs w:val="28"/>
          <w:lang w:eastAsia="zh-CN"/>
        </w:rPr>
        <w:t>。</w:t>
      </w:r>
    </w:p>
    <w:p>
      <w:pPr>
        <w:numPr>
          <w:ilvl w:val="0"/>
          <w:numId w:val="0"/>
        </w:numPr>
        <w:ind w:firstLine="560" w:firstLineChars="200"/>
        <w:jc w:val="both"/>
        <w:rPr>
          <w:rFonts w:hint="eastAsia"/>
          <w:sz w:val="28"/>
          <w:szCs w:val="28"/>
        </w:rPr>
      </w:pPr>
      <w:r>
        <w:rPr>
          <w:rFonts w:hint="eastAsia"/>
          <w:sz w:val="28"/>
          <w:szCs w:val="28"/>
        </w:rPr>
        <w:t>全国拍卖行业管理信息系统数据显示，截止</w:t>
      </w:r>
      <w:r>
        <w:rPr>
          <w:rFonts w:hint="eastAsia"/>
          <w:sz w:val="28"/>
          <w:szCs w:val="28"/>
          <w:lang w:val="en-US" w:eastAsia="zh-CN"/>
        </w:rPr>
        <w:t>12</w:t>
      </w:r>
      <w:r>
        <w:rPr>
          <w:rFonts w:hint="eastAsia"/>
          <w:sz w:val="28"/>
          <w:szCs w:val="28"/>
        </w:rPr>
        <w:t>月底</w:t>
      </w:r>
      <w:r>
        <w:rPr>
          <w:rFonts w:hint="eastAsia"/>
          <w:sz w:val="28"/>
          <w:szCs w:val="28"/>
          <w:lang w:eastAsia="zh-CN"/>
        </w:rPr>
        <w:t>，</w:t>
      </w:r>
      <w:r>
        <w:rPr>
          <w:rFonts w:hint="eastAsia"/>
          <w:sz w:val="28"/>
          <w:szCs w:val="28"/>
        </w:rPr>
        <w:t>全区共有拍卖企业</w:t>
      </w:r>
      <w:r>
        <w:rPr>
          <w:rFonts w:hint="eastAsia"/>
          <w:sz w:val="28"/>
          <w:szCs w:val="28"/>
          <w:lang w:val="en-US" w:eastAsia="zh-CN"/>
        </w:rPr>
        <w:t>152</w:t>
      </w:r>
      <w:r>
        <w:rPr>
          <w:rFonts w:hint="eastAsia"/>
          <w:sz w:val="28"/>
          <w:szCs w:val="28"/>
        </w:rPr>
        <w:t>家，从业人员</w:t>
      </w:r>
      <w:r>
        <w:rPr>
          <w:rFonts w:hint="eastAsia"/>
          <w:sz w:val="28"/>
          <w:szCs w:val="28"/>
          <w:lang w:val="en-US" w:eastAsia="zh-CN"/>
        </w:rPr>
        <w:t>661</w:t>
      </w:r>
      <w:r>
        <w:rPr>
          <w:rFonts w:hint="eastAsia"/>
          <w:sz w:val="28"/>
          <w:szCs w:val="28"/>
        </w:rPr>
        <w:t>人，拍卖师</w:t>
      </w:r>
      <w:r>
        <w:rPr>
          <w:rFonts w:hint="eastAsia"/>
          <w:sz w:val="28"/>
          <w:szCs w:val="28"/>
          <w:lang w:val="en-US" w:eastAsia="zh-CN"/>
        </w:rPr>
        <w:t>163</w:t>
      </w:r>
      <w:r>
        <w:rPr>
          <w:rFonts w:hint="eastAsia"/>
          <w:sz w:val="28"/>
          <w:szCs w:val="28"/>
        </w:rPr>
        <w:t>人。</w:t>
      </w:r>
    </w:p>
    <w:p>
      <w:pPr>
        <w:numPr>
          <w:ilvl w:val="0"/>
          <w:numId w:val="0"/>
        </w:numPr>
        <w:ind w:firstLine="560" w:firstLineChars="200"/>
        <w:jc w:val="both"/>
        <w:rPr>
          <w:rFonts w:hint="eastAsia"/>
          <w:sz w:val="28"/>
          <w:szCs w:val="28"/>
          <w:lang w:val="en-US" w:eastAsia="zh-CN"/>
        </w:rPr>
      </w:pPr>
      <w:r>
        <w:rPr>
          <w:rFonts w:hint="eastAsia"/>
          <w:sz w:val="28"/>
          <w:szCs w:val="28"/>
        </w:rPr>
        <w:t>从业务板块看</w:t>
      </w:r>
      <w:r>
        <w:rPr>
          <w:rFonts w:hint="eastAsia"/>
          <w:sz w:val="28"/>
          <w:szCs w:val="28"/>
          <w:lang w:eastAsia="zh-CN"/>
        </w:rPr>
        <w:t>，</w:t>
      </w:r>
      <w:r>
        <w:rPr>
          <w:rFonts w:hint="eastAsia"/>
          <w:sz w:val="28"/>
          <w:szCs w:val="28"/>
        </w:rPr>
        <w:t>1-</w:t>
      </w:r>
      <w:r>
        <w:rPr>
          <w:rFonts w:hint="eastAsia"/>
          <w:sz w:val="28"/>
          <w:szCs w:val="28"/>
          <w:lang w:val="en-US" w:eastAsia="zh-CN"/>
        </w:rPr>
        <w:t>12</w:t>
      </w:r>
      <w:r>
        <w:rPr>
          <w:rFonts w:hint="eastAsia"/>
          <w:sz w:val="28"/>
          <w:szCs w:val="28"/>
        </w:rPr>
        <w:t>月份，土地使用权拍卖</w:t>
      </w:r>
      <w:r>
        <w:rPr>
          <w:rFonts w:hint="eastAsia"/>
          <w:sz w:val="28"/>
          <w:szCs w:val="28"/>
          <w:lang w:val="en-US" w:eastAsia="zh-CN"/>
        </w:rPr>
        <w:t>受到疫情影响，但</w:t>
      </w:r>
      <w:r>
        <w:rPr>
          <w:rFonts w:hint="eastAsia"/>
          <w:sz w:val="28"/>
          <w:szCs w:val="28"/>
          <w:lang w:eastAsia="zh-CN"/>
        </w:rPr>
        <w:t>依然</w:t>
      </w:r>
      <w:r>
        <w:rPr>
          <w:rFonts w:hint="eastAsia"/>
          <w:sz w:val="28"/>
          <w:szCs w:val="28"/>
        </w:rPr>
        <w:t>占据</w:t>
      </w:r>
      <w:r>
        <w:rPr>
          <w:rFonts w:hint="eastAsia"/>
          <w:sz w:val="28"/>
          <w:szCs w:val="28"/>
          <w:lang w:eastAsia="zh-CN"/>
        </w:rPr>
        <w:t>我区</w:t>
      </w:r>
      <w:r>
        <w:rPr>
          <w:rFonts w:hint="eastAsia"/>
          <w:sz w:val="28"/>
          <w:szCs w:val="28"/>
        </w:rPr>
        <w:t>拍卖业务的主要板块，</w:t>
      </w:r>
      <w:r>
        <w:rPr>
          <w:rFonts w:hint="eastAsia"/>
          <w:sz w:val="28"/>
          <w:szCs w:val="28"/>
          <w:lang w:eastAsia="zh-CN"/>
        </w:rPr>
        <w:t>较同期</w:t>
      </w:r>
      <w:r>
        <w:rPr>
          <w:rFonts w:hint="eastAsia"/>
          <w:sz w:val="28"/>
          <w:szCs w:val="28"/>
          <w:lang w:val="en-US" w:eastAsia="zh-CN"/>
        </w:rPr>
        <w:t>下降了53.04</w:t>
      </w:r>
      <w:r>
        <w:rPr>
          <w:rFonts w:hint="eastAsia"/>
          <w:sz w:val="28"/>
          <w:szCs w:val="28"/>
        </w:rPr>
        <w:t>%</w:t>
      </w:r>
      <w:r>
        <w:rPr>
          <w:rFonts w:hint="eastAsia"/>
          <w:sz w:val="28"/>
          <w:szCs w:val="28"/>
          <w:lang w:eastAsia="zh-CN"/>
        </w:rPr>
        <w:t>；</w:t>
      </w:r>
      <w:r>
        <w:rPr>
          <w:rFonts w:hint="eastAsia"/>
          <w:sz w:val="28"/>
          <w:szCs w:val="28"/>
        </w:rPr>
        <w:t>房地产拍卖，同比</w:t>
      </w:r>
      <w:r>
        <w:rPr>
          <w:rFonts w:hint="eastAsia"/>
          <w:sz w:val="28"/>
          <w:szCs w:val="28"/>
          <w:lang w:eastAsia="zh-CN"/>
        </w:rPr>
        <w:t>增长了</w:t>
      </w:r>
      <w:r>
        <w:rPr>
          <w:rFonts w:hint="eastAsia"/>
          <w:sz w:val="28"/>
          <w:szCs w:val="28"/>
          <w:lang w:val="en-US" w:eastAsia="zh-CN"/>
        </w:rPr>
        <w:t>2.37</w:t>
      </w:r>
      <w:r>
        <w:rPr>
          <w:rFonts w:hint="eastAsia"/>
          <w:sz w:val="28"/>
          <w:szCs w:val="28"/>
        </w:rPr>
        <w:t>%</w:t>
      </w:r>
      <w:r>
        <w:rPr>
          <w:rFonts w:hint="eastAsia"/>
          <w:sz w:val="28"/>
          <w:szCs w:val="28"/>
          <w:lang w:eastAsia="zh-CN"/>
        </w:rPr>
        <w:t>；</w:t>
      </w:r>
      <w:r>
        <w:rPr>
          <w:rFonts w:hint="eastAsia"/>
          <w:sz w:val="28"/>
          <w:szCs w:val="28"/>
          <w:lang w:val="en-US" w:eastAsia="zh-CN"/>
        </w:rPr>
        <w:t>受疫情影响，农副产品同期降幅较大92.98%，</w:t>
      </w:r>
      <w:r>
        <w:rPr>
          <w:rFonts w:hint="eastAsia"/>
          <w:sz w:val="28"/>
          <w:szCs w:val="28"/>
        </w:rPr>
        <w:t>机动车拍卖同比</w:t>
      </w:r>
      <w:r>
        <w:rPr>
          <w:rFonts w:hint="eastAsia"/>
          <w:sz w:val="28"/>
          <w:szCs w:val="28"/>
          <w:lang w:val="en-US" w:eastAsia="zh-CN"/>
        </w:rPr>
        <w:t>下降65.87</w:t>
      </w:r>
      <w:r>
        <w:rPr>
          <w:rFonts w:hint="eastAsia"/>
          <w:sz w:val="28"/>
          <w:szCs w:val="28"/>
        </w:rPr>
        <w:t>%</w:t>
      </w:r>
      <w:r>
        <w:rPr>
          <w:rFonts w:hint="eastAsia"/>
          <w:sz w:val="28"/>
          <w:szCs w:val="28"/>
          <w:lang w:eastAsia="zh-CN"/>
        </w:rPr>
        <w:t>；</w:t>
      </w:r>
      <w:r>
        <w:rPr>
          <w:rFonts w:hint="eastAsia"/>
          <w:sz w:val="28"/>
          <w:szCs w:val="28"/>
        </w:rPr>
        <w:t>股权、债券、产权业务拍卖</w:t>
      </w:r>
      <w:r>
        <w:rPr>
          <w:rFonts w:hint="eastAsia"/>
          <w:sz w:val="28"/>
          <w:szCs w:val="28"/>
          <w:lang w:eastAsia="zh-CN"/>
        </w:rPr>
        <w:t>有所增长</w:t>
      </w:r>
      <w:r>
        <w:rPr>
          <w:rFonts w:hint="eastAsia"/>
          <w:sz w:val="28"/>
          <w:szCs w:val="28"/>
        </w:rPr>
        <w:t>，同比</w:t>
      </w:r>
      <w:r>
        <w:rPr>
          <w:rFonts w:hint="eastAsia"/>
          <w:sz w:val="28"/>
          <w:szCs w:val="28"/>
          <w:lang w:val="en-US" w:eastAsia="zh-CN"/>
        </w:rPr>
        <w:t>增长了42.82</w:t>
      </w:r>
      <w:r>
        <w:rPr>
          <w:rFonts w:hint="eastAsia"/>
          <w:sz w:val="28"/>
          <w:szCs w:val="28"/>
        </w:rPr>
        <w:t>%</w:t>
      </w:r>
      <w:r>
        <w:rPr>
          <w:rFonts w:hint="eastAsia"/>
          <w:sz w:val="28"/>
          <w:szCs w:val="28"/>
          <w:lang w:eastAsia="zh-CN"/>
        </w:rPr>
        <w:t>；</w:t>
      </w:r>
      <w:r>
        <w:rPr>
          <w:rFonts w:hint="eastAsia"/>
          <w:sz w:val="28"/>
          <w:szCs w:val="28"/>
        </w:rPr>
        <w:t>无形</w:t>
      </w:r>
      <w:r>
        <w:rPr>
          <w:rFonts w:hint="eastAsia"/>
          <w:sz w:val="28"/>
          <w:szCs w:val="28"/>
          <w:lang w:eastAsia="zh-CN"/>
        </w:rPr>
        <w:t>资产</w:t>
      </w:r>
      <w:r>
        <w:rPr>
          <w:rFonts w:hint="eastAsia"/>
          <w:sz w:val="28"/>
          <w:szCs w:val="28"/>
          <w:lang w:val="en-US" w:eastAsia="zh-CN"/>
        </w:rPr>
        <w:t>较去年同期增长为24.02%；</w:t>
      </w:r>
      <w:r>
        <w:rPr>
          <w:rFonts w:hint="eastAsia"/>
          <w:sz w:val="28"/>
          <w:szCs w:val="28"/>
          <w:lang w:eastAsia="zh-CN"/>
        </w:rPr>
        <w:t>文物艺术品同期</w:t>
      </w:r>
      <w:r>
        <w:rPr>
          <w:rFonts w:hint="eastAsia"/>
          <w:sz w:val="28"/>
          <w:szCs w:val="28"/>
          <w:lang w:val="en-US" w:eastAsia="zh-CN"/>
        </w:rPr>
        <w:t>下降54.13%；</w:t>
      </w:r>
      <w:r>
        <w:rPr>
          <w:rFonts w:hint="eastAsia"/>
          <w:sz w:val="28"/>
          <w:szCs w:val="28"/>
          <w:lang w:eastAsia="zh-CN"/>
        </w:rPr>
        <w:t>其他业务比去年同期</w:t>
      </w:r>
      <w:r>
        <w:rPr>
          <w:rFonts w:hint="eastAsia"/>
          <w:sz w:val="28"/>
          <w:szCs w:val="28"/>
          <w:lang w:val="en-US" w:eastAsia="zh-CN"/>
        </w:rPr>
        <w:t>增长</w:t>
      </w:r>
      <w:r>
        <w:rPr>
          <w:rFonts w:hint="eastAsia"/>
          <w:sz w:val="28"/>
          <w:szCs w:val="28"/>
          <w:lang w:eastAsia="zh-CN"/>
        </w:rPr>
        <w:t>了</w:t>
      </w:r>
      <w:r>
        <w:rPr>
          <w:rFonts w:hint="eastAsia"/>
          <w:sz w:val="28"/>
          <w:szCs w:val="28"/>
          <w:lang w:val="en-US" w:eastAsia="zh-CN"/>
        </w:rPr>
        <w:t>41.3%。具体的业务情况见下表。</w:t>
      </w:r>
    </w:p>
    <w:p>
      <w:pPr>
        <w:numPr>
          <w:ilvl w:val="0"/>
          <w:numId w:val="0"/>
        </w:numPr>
        <w:ind w:firstLine="560" w:firstLineChars="200"/>
        <w:jc w:val="both"/>
        <w:rPr>
          <w:rFonts w:hint="eastAsia"/>
          <w:sz w:val="28"/>
          <w:szCs w:val="28"/>
          <w:lang w:val="en-US" w:eastAsia="zh-CN"/>
        </w:rPr>
      </w:pPr>
    </w:p>
    <w:tbl>
      <w:tblPr>
        <w:tblStyle w:val="7"/>
        <w:tblW w:w="10530" w:type="dxa"/>
        <w:jc w:val="center"/>
        <w:shd w:val="clear" w:color="auto" w:fill="auto"/>
        <w:tblLayout w:type="autofit"/>
        <w:tblCellMar>
          <w:top w:w="0" w:type="dxa"/>
          <w:left w:w="0" w:type="dxa"/>
          <w:bottom w:w="0" w:type="dxa"/>
          <w:right w:w="0" w:type="dxa"/>
        </w:tblCellMar>
      </w:tblPr>
      <w:tblGrid>
        <w:gridCol w:w="2283"/>
        <w:gridCol w:w="2097"/>
        <w:gridCol w:w="1351"/>
        <w:gridCol w:w="2097"/>
        <w:gridCol w:w="1351"/>
        <w:gridCol w:w="1351"/>
      </w:tblGrid>
      <w:tr>
        <w:tblPrEx>
          <w:shd w:val="clear" w:color="auto" w:fill="auto"/>
          <w:tblCellMar>
            <w:top w:w="0" w:type="dxa"/>
            <w:left w:w="0" w:type="dxa"/>
            <w:bottom w:w="0" w:type="dxa"/>
            <w:right w:w="0" w:type="dxa"/>
          </w:tblCellMar>
        </w:tblPrEx>
        <w:trPr>
          <w:trHeight w:val="270" w:hRule="atLeast"/>
          <w:jc w:val="center"/>
        </w:trPr>
        <w:tc>
          <w:tcPr>
            <w:tcW w:w="10530" w:type="dxa"/>
            <w:gridSpan w:val="6"/>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2020年各拍卖标的成交额变化情况</w:t>
            </w:r>
          </w:p>
        </w:tc>
      </w:tr>
      <w:tr>
        <w:tblPrEx>
          <w:shd w:val="clear" w:color="auto" w:fill="auto"/>
          <w:tblCellMar>
            <w:top w:w="0" w:type="dxa"/>
            <w:left w:w="0" w:type="dxa"/>
            <w:bottom w:w="0" w:type="dxa"/>
            <w:right w:w="0" w:type="dxa"/>
          </w:tblCellMar>
        </w:tblPrEx>
        <w:trPr>
          <w:trHeight w:val="270" w:hRule="atLeast"/>
          <w:jc w:val="center"/>
        </w:trPr>
        <w:tc>
          <w:tcPr>
            <w:tcW w:w="10530" w:type="dxa"/>
            <w:gridSpan w:val="6"/>
            <w:vMerge w:val="continue"/>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8"/>
                <w:szCs w:val="28"/>
                <w:u w:val="none"/>
              </w:rPr>
            </w:pPr>
          </w:p>
        </w:tc>
      </w:tr>
      <w:tr>
        <w:tblPrEx>
          <w:shd w:val="clear" w:color="auto" w:fill="auto"/>
          <w:tblCellMar>
            <w:top w:w="0" w:type="dxa"/>
            <w:left w:w="0" w:type="dxa"/>
            <w:bottom w:w="0" w:type="dxa"/>
            <w:right w:w="0" w:type="dxa"/>
          </w:tblCellMar>
        </w:tblPrEx>
        <w:trPr>
          <w:trHeight w:val="270" w:hRule="atLeast"/>
          <w:jc w:val="center"/>
        </w:trPr>
        <w:tc>
          <w:tcPr>
            <w:tcW w:w="0" w:type="auto"/>
            <w:gridSpan w:val="6"/>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单位：万元</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项目拍卖标的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增长率</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内蒙古自治区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1001058.802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687298.2303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-31.34%</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房地产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251781.3915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257754.3295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2.37%</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土地使用权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645335.2727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303030.0474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-53.04%</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14619.1592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4989.7578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-65.87%</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农副产品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1518.58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106.5014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-92.99%</w:t>
            </w:r>
          </w:p>
        </w:tc>
      </w:tr>
      <w:tr>
        <w:tblPrEx>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股权、债权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4543.935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6489.62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42.82%</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无形资产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11690.899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14498.6818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24.02%</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文物艺术品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733.65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336.516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-54.13%</w:t>
            </w:r>
          </w:p>
        </w:tc>
      </w:tr>
      <w:tr>
        <w:tblPrEx>
          <w:shd w:val="clear" w:color="auto" w:fill="auto"/>
          <w:tblCellMar>
            <w:top w:w="0" w:type="dxa"/>
            <w:left w:w="0" w:type="dxa"/>
            <w:bottom w:w="0" w:type="dxa"/>
            <w:right w:w="0"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70835.9144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100092.7764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41.30%</w:t>
            </w:r>
          </w:p>
        </w:tc>
      </w:tr>
    </w:tbl>
    <w:p>
      <w:pPr>
        <w:ind w:firstLine="482" w:firstLineChars="200"/>
        <w:jc w:val="center"/>
        <w:rPr>
          <w:rFonts w:hint="default"/>
          <w:sz w:val="28"/>
          <w:szCs w:val="28"/>
          <w:lang w:val="en-US" w:eastAsia="zh-CN"/>
        </w:rPr>
      </w:pPr>
      <w:r>
        <w:rPr>
          <w:rFonts w:hint="eastAsia"/>
          <w:b/>
          <w:bCs/>
          <w:sz w:val="24"/>
          <w:szCs w:val="24"/>
          <w:lang w:val="en-US" w:eastAsia="zh-CN"/>
        </w:rPr>
        <w:t>2019年-2020年各类拍卖标的的成交额情况 单位：万元</w:t>
      </w:r>
    </w:p>
    <w:p>
      <w:pPr>
        <w:ind w:firstLine="420" w:firstLineChars="200"/>
        <w:jc w:val="left"/>
      </w:pPr>
    </w:p>
    <w:p>
      <w:pPr>
        <w:ind w:firstLine="420" w:firstLineChars="200"/>
        <w:jc w:val="left"/>
      </w:pPr>
      <w:r>
        <w:drawing>
          <wp:inline distT="0" distB="0" distL="114300" distR="114300">
            <wp:extent cx="4186555" cy="3348990"/>
            <wp:effectExtent l="4445" t="4445" r="19050" b="18415"/>
            <wp:docPr id="9"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ind w:firstLine="482" w:firstLineChars="200"/>
        <w:jc w:val="center"/>
        <w:rPr>
          <w:rFonts w:hint="eastAsia"/>
          <w:lang w:eastAsia="zh-CN"/>
        </w:rPr>
      </w:pPr>
      <w:r>
        <w:rPr>
          <w:rFonts w:hint="eastAsia"/>
          <w:b/>
          <w:bCs/>
          <w:sz w:val="24"/>
          <w:szCs w:val="24"/>
          <w:lang w:val="en-US" w:eastAsia="zh-CN"/>
        </w:rPr>
        <w:t>2019年-2020年各类拍卖标的的成交额情况 单位：万元</w:t>
      </w:r>
    </w:p>
    <w:p>
      <w:pPr>
        <w:ind w:firstLine="560" w:firstLineChars="200"/>
        <w:jc w:val="left"/>
        <w:rPr>
          <w:rFonts w:hint="eastAsia" w:asciiTheme="minorEastAsia" w:hAnsiTheme="minorEastAsia" w:cstheme="minorEastAsia"/>
          <w:b/>
          <w:bCs/>
          <w:color w:val="auto"/>
          <w:sz w:val="28"/>
          <w:szCs w:val="28"/>
          <w:lang w:val="en-US" w:eastAsia="zh-CN"/>
        </w:rPr>
      </w:pPr>
      <w:r>
        <w:rPr>
          <w:rFonts w:hint="eastAsia"/>
          <w:sz w:val="28"/>
          <w:szCs w:val="28"/>
          <w:lang w:eastAsia="zh-CN"/>
        </w:rPr>
        <w:t>可以从数据中看出，我区拍卖业受疫情影响比较大。</w:t>
      </w:r>
      <w:r>
        <w:rPr>
          <w:rFonts w:hint="eastAsia"/>
          <w:sz w:val="28"/>
          <w:szCs w:val="28"/>
          <w:lang w:val="en-US" w:eastAsia="zh-CN"/>
        </w:rPr>
        <w:t>内拍协在第一时间出台文件《疫情当前拍卖企业面临的困难及需求》（内拍协【2020】4号）报送至拍卖行业主管单位内蒙古自治区商务厅和中国拍卖行业协会等相关部门，对于减免税收和简化商务备案方面起到了积极的推进作用。疫情当前，我们将共同面对，担起协会职责，架起政府与企业沟通的桥梁，充分发挥行业协会的作用，促进行业健康持续的发展。</w:t>
      </w:r>
    </w:p>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right="0"/>
        <w:jc w:val="center"/>
        <w:rPr>
          <w:rFonts w:hint="eastAsia" w:ascii="宋体" w:hAnsi="宋体" w:eastAsia="宋体" w:cs="宋体"/>
          <w:b/>
          <w:bCs/>
          <w:i w:val="0"/>
          <w:iCs w:val="0"/>
          <w:caps w:val="0"/>
          <w:color w:val="333333"/>
          <w:spacing w:val="0"/>
          <w:sz w:val="36"/>
          <w:szCs w:val="36"/>
          <w:shd w:val="clear" w:fill="FFFFFF"/>
        </w:rPr>
      </w:pPr>
      <w:r>
        <w:rPr>
          <w:rFonts w:hint="eastAsia" w:ascii="宋体" w:hAnsi="宋体" w:eastAsia="宋体" w:cs="宋体"/>
          <w:b/>
          <w:bCs/>
          <w:i w:val="0"/>
          <w:iCs w:val="0"/>
          <w:caps w:val="0"/>
          <w:color w:val="333333"/>
          <w:spacing w:val="0"/>
          <w:sz w:val="36"/>
          <w:szCs w:val="36"/>
          <w:shd w:val="clear" w:fill="FFFFFF"/>
        </w:rPr>
        <w:t>享受槌起槌落间的乐趣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我从接触拍卖到做拍卖这行已经有20年。回想起来，我从拍卖的门外汉成为一名国家注册拍卖师的过程虽然很偶然，但却成为我追梦拍卖的开始。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记得在厦门大学读法学专业时，班里一名同学带我去观看拍卖会，那也是我有生以来参与的第一场拍卖会，当时感觉十分新鲜。拍卖师在台上优雅的风度和如珠的妙语，竟然激发了我成为一名拍卖师的梦想。对此，不少朋友都说我是“走火入魔”了。在入行培训时，我经常深夜趴在床上看书、记笔记，有一次甚至睡着了，将墨水染到了床单上。结业时，因为学习刻苦，我被评为优秀学员，之后参加拍卖师考试，正式成为了一名国家注册拍卖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right="0" w:firstLine="562" w:firstLineChars="200"/>
        <w:jc w:val="left"/>
        <w:rPr>
          <w:rFonts w:hint="eastAsia" w:ascii="宋体" w:hAnsi="宋体" w:eastAsia="宋体" w:cs="宋体"/>
          <w:b/>
          <w:bCs/>
          <w:i w:val="0"/>
          <w:iCs w:val="0"/>
          <w:caps w:val="0"/>
          <w:color w:val="333333"/>
          <w:spacing w:val="0"/>
          <w:sz w:val="28"/>
          <w:szCs w:val="28"/>
          <w:shd w:val="clear" w:fill="FFFFFF"/>
        </w:rPr>
      </w:pPr>
      <w:r>
        <w:rPr>
          <w:rFonts w:hint="eastAsia" w:ascii="宋体" w:hAnsi="宋体" w:eastAsia="宋体" w:cs="宋体"/>
          <w:b/>
          <w:bCs/>
          <w:i w:val="0"/>
          <w:iCs w:val="0"/>
          <w:caps w:val="0"/>
          <w:color w:val="333333"/>
          <w:spacing w:val="0"/>
          <w:sz w:val="28"/>
          <w:szCs w:val="28"/>
          <w:shd w:val="clear" w:fill="FFFFFF"/>
        </w:rPr>
        <w:t>为拍卖 坚持知识积累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一名优秀的拍卖师需要具备各方面的知识，他未必是一个专家，但必须成为一个“杂家”——毕竟，“以其昏昏，使人昭昭”是不行的。拍卖要接触各种标的，艺术品、房地产、旧机动车、废旧设备、无形资产、司法拍卖、资产等等，针对各种标的，就要学习各种标的的知识，但学习不能急于求成，也没有捷径，知识需要一点一滴的积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这些年，我先后系统地参加了宝玉石鉴定培训、书画鉴定培训、陶瓷器鉴定培训、典当师及拍卖策划师的培训，并考取了资格证书。为学习，我经常求教于国内知名的鉴赏专家，经常邀请书画艺术家来克拉玛依进行文化交流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在外地出差，我首先必去的地方就是博物馆，这是接触、学习精美绝伦的艺术品最理想的课堂，那种跨时空的交流让我获益匪浅。艺术品鉴赏水平的高低对拍卖师个人的发展是有重要影响。做为一名拍卖师，需要有一定的文化修养和艺术底蕴来提升拍卖师的个人气质和魅力，这需要在平时的生活、学习、工作中，不断地积累沉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一件拍品，拍卖师首先要认识它、了解它、读懂它，然后在拍卖场上把自己所了解到的拍卖信息通过自身营造的气场传递给竞买人，最终实现成交。从某种意义上说，拍卖师对拍品的“解读”实际上是对拍品的一种再造。</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除此之外，拍卖师的综合素质更加重要。它包含了与拍卖相关的各种知识和能力。拍卖师首先要口齿清晰、讲普通话、声音洪亮，有穿透力和感染力，生动而动听的声音是拍卖师的法宝。要做好拍卖师，必须勤学苦练；台上一分钟，台下十年功，拍卖师要对整个拍卖活动的各个环节了解、熟悉，做到心中有数，能及时应对拍卖会上的各种突发事件，包括自己情绪的控制，会场气氛的引导，突发事件的处理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b/>
          <w:bCs/>
          <w:i w:val="0"/>
          <w:iCs w:val="0"/>
          <w:caps w:val="0"/>
          <w:color w:val="333333"/>
          <w:spacing w:val="0"/>
          <w:sz w:val="28"/>
          <w:szCs w:val="28"/>
          <w:shd w:val="clear" w:fill="FFFFFF"/>
        </w:rPr>
      </w:pPr>
      <w:r>
        <w:rPr>
          <w:rFonts w:hint="eastAsia" w:ascii="宋体" w:hAnsi="宋体" w:eastAsia="宋体" w:cs="宋体"/>
          <w:b/>
          <w:bCs/>
          <w:i w:val="0"/>
          <w:iCs w:val="0"/>
          <w:caps w:val="0"/>
          <w:color w:val="333333"/>
          <w:spacing w:val="0"/>
          <w:sz w:val="28"/>
          <w:szCs w:val="28"/>
          <w:shd w:val="clear" w:fill="FFFFFF"/>
        </w:rPr>
        <w:t>应对突发状况 熟悉拍卖流程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有一次，我们接受司法委托拍卖一幢楼，被执行人带了一群人到拍卖现场门口闹事，想阻止这场拍卖会，在这种情况下，我们果断报警。最后拍卖会如期进行，成交额从900多万拍到1200多万。这件事提醒我，遇到突发事件时，拍卖师必须挺身而出，对捣乱者要坚决用法律的正义和气势压住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有一次，我们接受中石油等机构委托，拍卖一批废旧资产，报名的竞买人有几十人，保证金就缴纳了几千万。这些竞买人的素质层次不齐，在这种情况下，就要显示出拍卖师操控现场的能力。在拍卖期间，我们运用各种方式顺利成交，得到了委托方及社会各界的一致好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还有一次，我们和金丝玉促进会合作进行慈善拍卖。当时对方承诺会将拍品准备妥当，并布置好会场。拍卖当天我发现一切都未准备好，才知道组织对方对拍卖一窍不通，于是马上采取应急方案，将会场和拍品问题一一解决。最终在大家的配合下，那场拍卖也顺利结束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做为一名拍卖师，不能只知道站在台上举槌敲槌，还应该了解并熟悉拍卖活动的每个环节，要有较强的应变能力。而支撑这个能力的是扎实的专业知识和法律知识，拍卖师应该广学博览，知识面越宽泛越好。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b/>
          <w:bCs/>
          <w:i w:val="0"/>
          <w:iCs w:val="0"/>
          <w:caps w:val="0"/>
          <w:color w:val="333333"/>
          <w:spacing w:val="0"/>
          <w:sz w:val="28"/>
          <w:szCs w:val="28"/>
          <w:shd w:val="clear" w:fill="FFFFFF"/>
        </w:rPr>
      </w:pPr>
      <w:r>
        <w:rPr>
          <w:rFonts w:hint="eastAsia" w:ascii="宋体" w:hAnsi="宋体" w:eastAsia="宋体" w:cs="宋体"/>
          <w:b/>
          <w:bCs/>
          <w:i w:val="0"/>
          <w:iCs w:val="0"/>
          <w:caps w:val="0"/>
          <w:color w:val="333333"/>
          <w:spacing w:val="0"/>
          <w:sz w:val="28"/>
          <w:szCs w:val="28"/>
          <w:shd w:val="clear" w:fill="FFFFFF"/>
        </w:rPr>
        <w:t>态度滋养魅力 魅力成就拍卖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另外，严谨认真的工作态度，周密细致的工作作风，对于拍卖工作尤为重要。特别是拍卖会前的准备工作，越细致、越全面越好，应该纵观全场、操控全局：第一，拍卖师要了解拍卖活动的整体情况，与负责人沟通拍卖时应注意的事项；第二，拍卖师要了解、熟悉拍品，认真“备课”，力求达到了如指掌的程度；第三，要熟悉拍卖环境，拍卖场地会经常变动，不论是新老拍卖师，场地变化肯定会生疏，所以每一次拍卖我都会提前到场看一看，力求心里有数；第四，拍卖师对各个岗位的工作人员沟通要到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拍卖师就像一个交响乐队的指挥，应该发自内心的去关注每一个声音，把所有人的注意力集中在一起，使场上节奏、进度、声音有一种韵律感、和谐感，让大家不感觉枯燥、乏味。拍卖会是整个拍卖环节的最终体现，那么仅对拍卖师的主持环节而言，怎样才称得上是一场成功的拍卖会？首先是标的成交不出错，其次是委托方、拍卖人、买受人三方都取得平衡，达到“三赢”，最后是拍卖过程的和谐流畅。拍卖师是“仪态万方”的，有法官型的、情绪激昂的、温文尔雅的、热情活泼的、庄严朴实型的，不一而足。但不管哪种类型的拍卖师，一定要有幽默感，必须根据拍场及时适当调整方式，通过幽默的语言、真诚的眼神、纯真的微笑和得体的肢体语言把沉闷的会场气氛带动起来，与买家达到一种无言的交流的境界，取得事半功倍的效果。可以说，幽默滋养魅力，魅力成就拍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一个好的拍卖师我认为应该是“拍好不拍贵”，让三方都满意，通过拍卖让委托方、买受人都达到自己想要的结果。同时拍卖会从征集拍品到宣传招商，从拍卖预展到现场拍卖，是整个团队运作的过程，环环相扣，每一个环节都很重要，缺一不可。当然，拍卖主持的环节更加重要，当拍卖师在拍卖场上把竞买人的情绪调动起来，让竞买人更加愉悦地投入到竞买活动中，那么成交率自然也就上来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b/>
          <w:bCs/>
          <w:i w:val="0"/>
          <w:iCs w:val="0"/>
          <w:caps w:val="0"/>
          <w:color w:val="333333"/>
          <w:spacing w:val="0"/>
          <w:sz w:val="28"/>
          <w:szCs w:val="28"/>
          <w:shd w:val="clear" w:fill="FFFFFF"/>
        </w:rPr>
      </w:pPr>
      <w:r>
        <w:rPr>
          <w:rFonts w:hint="eastAsia" w:ascii="宋体" w:hAnsi="宋体" w:eastAsia="宋体" w:cs="宋体"/>
          <w:b/>
          <w:bCs/>
          <w:i w:val="0"/>
          <w:iCs w:val="0"/>
          <w:caps w:val="0"/>
          <w:color w:val="333333"/>
          <w:spacing w:val="0"/>
          <w:sz w:val="28"/>
          <w:szCs w:val="28"/>
          <w:shd w:val="clear" w:fill="FFFFFF"/>
        </w:rPr>
        <w:t>不是工作 而是享受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在我从事拍卖职业的这些年里，商业拍卖和公益慈善拍卖我都做了很多。商业拍卖能让公司更好地发展，而公益慈善拍卖能让自己的心灵得到升华，因此，每年我都要组织几场慈善拍卖会。如汶川大地震后，我们与克拉玛依区政府合作举行了爱心拍卖会，我个人捐出了收藏多年的名家字画，我女儿也捐出了生日时我给她买的一块和田玉，整场拍卖会成交6万多元，大家都感觉十分温暖。慈善拍卖让受助方得到了帮助，也让我的心灵得到了慰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这些年，通过慈善拍卖活动，我帮助了许多急需帮助的群体和个人。在我的拍卖职业生涯里，慈善拍卖对我的影响是终身的。如果说商业拍卖中拍卖师创造的是更高的成交率的话，那么公益拍卖中拍卖师所肩负的就是一种责无旁贷的社会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站在拍卖台前，我从来没有感觉自己是在工作，而是觉得那是一种享受，享受拍卖场上那激烈的竞价，享受那一次次槌起槌落的过程，享受我和竞买人之间的那种默契和互动，享受着三尺拍卖台带给我的快乐和收获——我爱我的职业，我享受槌起槌落带来的乐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2195" w:firstLineChars="784"/>
        <w:jc w:val="left"/>
        <w:rPr>
          <w:rFonts w:hint="eastAsia" w:ascii="宋体" w:hAnsi="宋体" w:eastAsia="宋体" w:cs="宋体"/>
          <w:i w:val="0"/>
          <w:iCs w:val="0"/>
          <w:caps w:val="0"/>
          <w:color w:val="333333"/>
          <w:spacing w:val="0"/>
          <w:sz w:val="28"/>
          <w:szCs w:val="28"/>
          <w:shd w:val="clear"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2195" w:firstLineChars="784"/>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lang w:val="en-US" w:eastAsia="zh-CN"/>
        </w:rPr>
        <w:t>（作者单位：新疆克拉玛依市瑞丰拍卖有限公司）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宋体" w:hAnsi="宋体" w:eastAsia="宋体" w:cs="宋体"/>
          <w:b/>
          <w:bCs/>
          <w:i w:val="0"/>
          <w:iCs w:val="0"/>
          <w:caps w:val="0"/>
          <w:color w:val="333333"/>
          <w:spacing w:val="8"/>
          <w:sz w:val="36"/>
          <w:szCs w:val="36"/>
          <w:shd w:val="clear"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宋体" w:hAnsi="宋体" w:eastAsia="宋体" w:cs="宋体"/>
          <w:b/>
          <w:bCs/>
          <w:i w:val="0"/>
          <w:iCs w:val="0"/>
          <w:caps w:val="0"/>
          <w:color w:val="333333"/>
          <w:spacing w:val="8"/>
          <w:sz w:val="36"/>
          <w:szCs w:val="36"/>
          <w:shd w:val="clear" w:fill="FFFFFF"/>
          <w:lang w:val="en-US" w:eastAsia="zh-CN"/>
        </w:rPr>
      </w:pPr>
      <w:r>
        <w:rPr>
          <w:rFonts w:hint="eastAsia" w:ascii="宋体" w:hAnsi="宋体" w:eastAsia="宋体" w:cs="宋体"/>
          <w:b/>
          <w:bCs/>
          <w:i w:val="0"/>
          <w:iCs w:val="0"/>
          <w:caps w:val="0"/>
          <w:color w:val="333333"/>
          <w:spacing w:val="8"/>
          <w:sz w:val="36"/>
          <w:szCs w:val="36"/>
          <w:shd w:val="clear" w:fill="FFFFFF"/>
          <w:lang w:val="en-US" w:eastAsia="zh-CN"/>
        </w:rPr>
        <w:t>网络拍卖策划新思维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网络拍卖，又称网上拍卖、在线拍卖，是一种与传统拍卖迥异的新拍卖模式。它通过互联网开展价格谈判，并采取竞价方式进行标的交易，因其应用于互联网环境，存在便捷、快速、影响力大等特点，成功的拉低了拍卖介入公众生活的门槛，使拍卖得以成为一种平民化交易方式，因此代表了未来一段时间拍卖行业发展的重点方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333333"/>
          <w:spacing w:val="8"/>
          <w:sz w:val="25"/>
          <w:szCs w:val="25"/>
        </w:rPr>
      </w:pPr>
      <w:r>
        <w:rPr>
          <w:rFonts w:hint="eastAsia" w:ascii="Microsoft YaHei UI" w:hAnsi="Microsoft YaHei UI" w:eastAsia="Microsoft YaHei UI" w:cs="Microsoft YaHei UI"/>
          <w:i w:val="0"/>
          <w:iCs w:val="0"/>
          <w:caps w:val="0"/>
          <w:color w:val="333333"/>
          <w:spacing w:val="8"/>
          <w:sz w:val="25"/>
          <w:szCs w:val="25"/>
          <w:shd w:val="clear" w:fill="FFFFFF"/>
        </w:rPr>
        <w:drawing>
          <wp:inline distT="0" distB="0" distL="114300" distR="114300">
            <wp:extent cx="2171700" cy="1447800"/>
            <wp:effectExtent l="0" t="0" r="0" b="0"/>
            <wp:docPr id="1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IMG_256"/>
                    <pic:cNvPicPr>
                      <a:picLocks noChangeAspect="1"/>
                    </pic:cNvPicPr>
                  </pic:nvPicPr>
                  <pic:blipFill>
                    <a:blip r:embed="rId8"/>
                    <a:stretch>
                      <a:fillRect/>
                    </a:stretch>
                  </pic:blipFill>
                  <pic:spPr>
                    <a:xfrm>
                      <a:off x="0" y="0"/>
                      <a:ext cx="2171700" cy="14478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333333"/>
          <w:spacing w:val="8"/>
          <w:sz w:val="25"/>
          <w:szCs w:val="25"/>
        </w:rPr>
      </w:pPr>
    </w:p>
    <w:p>
      <w:pPr>
        <w:keepNext w:val="0"/>
        <w:keepLines w:val="0"/>
        <w:widowControl/>
        <w:suppressLineNumbers w:val="0"/>
        <w:jc w:val="left"/>
        <w:rPr>
          <w:sz w:val="28"/>
          <w:szCs w:val="28"/>
        </w:rPr>
      </w:pPr>
      <w:r>
        <w:rPr>
          <w:rFonts w:ascii="宋体" w:hAnsi="宋体" w:eastAsia="宋体" w:cs="宋体"/>
          <w:kern w:val="0"/>
          <w:sz w:val="24"/>
          <w:szCs w:val="24"/>
          <w:lang w:val="en-US" w:eastAsia="zh-CN" w:bidi="ar"/>
        </w:rPr>
        <w:br w:type="textWrapping"/>
      </w:r>
      <w:r>
        <w:rPr>
          <w:rStyle w:val="9"/>
          <w:rFonts w:ascii="宋体" w:hAnsi="宋体" w:eastAsia="宋体" w:cs="宋体"/>
          <w:b w:val="0"/>
          <w:bCs/>
          <w:color w:val="auto"/>
          <w:kern w:val="0"/>
          <w:sz w:val="28"/>
          <w:szCs w:val="28"/>
          <w:shd w:val="clear"/>
          <w:lang w:val="en-US" w:eastAsia="zh-CN" w:bidi="ar"/>
        </w:rPr>
        <w:t>网络拍卖与互联网思维</w:t>
      </w:r>
      <w:r>
        <w:rPr>
          <w:rFonts w:ascii="宋体" w:hAnsi="宋体" w:eastAsia="宋体" w:cs="宋体"/>
          <w:kern w:val="0"/>
          <w:sz w:val="28"/>
          <w:szCs w:val="28"/>
          <w:lang w:val="en-US" w:eastAsia="zh-CN" w:bidi="ar"/>
        </w:rPr>
        <w:t>虽然很多拍卖行均在不同程度上涉足了网络拍卖，其中一些还特意建设了自有网络拍卖平台，但真正在这一领域大有斩获的，却多为第三方电商企业，这一现象引人深思。这些电商巨头之所以能够在网络拍卖业务上获得成功，有两大主要原因，一个原因是显性的：它们掌握了巨大的客户流量；其二则是隐性原因，即这些互联网企业更熟稔网络游戏规则，它们有着非常清晰的互联网思维。所谓的互联网思维，就是关注以下四类要素：一是注重用户体验、二是注重数据分析、三是注重创新意识、四是注重商业生态。注重用户思维，就是以客户为中心，以迎合互联网用户需求出发去提供产品，以简约、快速、极致的方式获取他们的认同；重视数据则提出用数据驱动决策，所有方针、策略都要基于客户数据分析做出判断；重视创新意识代表了创造力，意味着互联网拍卖是最变化多端的行业，这一点对于我们做拍卖策划而言特别需要重视，提醒业者不要以老眼光审视新问题；最后就是注重商业生态化，提倡围绕客户打造多方共赢的生态圈，建立拍卖行与关联企业、管理者和员工之间的“利益共同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333333"/>
          <w:spacing w:val="8"/>
          <w:sz w:val="25"/>
          <w:szCs w:val="25"/>
        </w:rPr>
      </w:pPr>
      <w:r>
        <w:rPr>
          <w:rFonts w:hint="eastAsia" w:ascii="Microsoft YaHei UI" w:hAnsi="Microsoft YaHei UI" w:eastAsia="Microsoft YaHei UI" w:cs="Microsoft YaHei UI"/>
          <w:i w:val="0"/>
          <w:iCs w:val="0"/>
          <w:caps w:val="0"/>
          <w:color w:val="333333"/>
          <w:spacing w:val="8"/>
          <w:sz w:val="25"/>
          <w:szCs w:val="25"/>
          <w:shd w:val="clear" w:fill="FFFFFF"/>
        </w:rPr>
        <w:drawing>
          <wp:inline distT="0" distB="0" distL="114300" distR="114300">
            <wp:extent cx="2171700" cy="1571625"/>
            <wp:effectExtent l="0" t="0" r="0" b="9525"/>
            <wp:docPr id="1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7"/>
                    <pic:cNvPicPr>
                      <a:picLocks noChangeAspect="1"/>
                    </pic:cNvPicPr>
                  </pic:nvPicPr>
                  <pic:blipFill>
                    <a:blip r:embed="rId9"/>
                    <a:stretch>
                      <a:fillRect/>
                    </a:stretch>
                  </pic:blipFill>
                  <pic:spPr>
                    <a:xfrm>
                      <a:off x="0" y="0"/>
                      <a:ext cx="2171700" cy="157162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在具备了互联网思维、对网络用户有了一定了解的基础之上，我们应该意识到，网络拍卖策划需要具备更多的“用户思维”，即站在互联网客户的视角去审视策划案例，这将让我们的拍卖活动变得充满设计感。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333333"/>
          <w:spacing w:val="8"/>
          <w:sz w:val="28"/>
          <w:szCs w:val="28"/>
          <w:shd w:val="clear" w:fill="FFFFFF"/>
        </w:rPr>
        <w:t>内容向娱乐化倾斜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现代社会节奏很快，许多年轻的城市白领不是在工作就是在工作的路上，因此才会产生许多“碎片化”时间。这种快节奏生活让人们非常渴望放松，一种娱乐至上的潮流甚嚣尘上。当然，作为谋生手段，工作是无法取消的，因此人们才如此关注，如何能在任何场合都能够“自娱自乐”。例如，“弹幕文化”就是一例鲜活例证。当我们打开弹幕的时候，满屏的字幕几乎覆盖了全部屏幕，人们的关注重点由节目过渡到弹幕中的玩笑、戏谑和“吐槽”，而视频本身反而成了背景。这即是一种非常典型的娱乐化表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那么，我们的网络拍卖环境是寂静无声的吗？还是也可以效仿弹幕文化，让人人都能参与进来，真正成为屏幕动态的一部分？它是曲高和寡的吗？还是应该让注重娱乐化的互联网一代们更加喜闻乐见？弹幕只是一个引例，我们应该有更多的办法，让我们的网络拍卖变得更活泼、更有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333333"/>
          <w:spacing w:val="8"/>
          <w:sz w:val="25"/>
          <w:szCs w:val="25"/>
        </w:rPr>
      </w:pPr>
      <w:r>
        <w:rPr>
          <w:rFonts w:hint="eastAsia" w:ascii="Microsoft YaHei UI" w:hAnsi="Microsoft YaHei UI" w:eastAsia="Microsoft YaHei UI" w:cs="Microsoft YaHei UI"/>
          <w:i w:val="0"/>
          <w:iCs w:val="0"/>
          <w:caps w:val="0"/>
          <w:color w:val="333333"/>
          <w:spacing w:val="8"/>
          <w:sz w:val="25"/>
          <w:szCs w:val="25"/>
          <w:bdr w:val="single" w:color="EEEDEB" w:sz="6" w:space="0"/>
          <w:shd w:val="clear" w:fill="EEEDEB"/>
        </w:rPr>
        <w:drawing>
          <wp:inline distT="0" distB="0" distL="114300" distR="114300">
            <wp:extent cx="2181225" cy="1457325"/>
            <wp:effectExtent l="0" t="0" r="9525" b="9525"/>
            <wp:docPr id="1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IMG_258"/>
                    <pic:cNvPicPr>
                      <a:picLocks noChangeAspect="1"/>
                    </pic:cNvPicPr>
                  </pic:nvPicPr>
                  <pic:blipFill>
                    <a:blip r:embed="rId10"/>
                    <a:stretch>
                      <a:fillRect/>
                    </a:stretch>
                  </pic:blipFill>
                  <pic:spPr>
                    <a:xfrm>
                      <a:off x="0" y="0"/>
                      <a:ext cx="2181225" cy="145732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Style w:val="9"/>
          <w:rFonts w:hint="eastAsia" w:ascii="宋体" w:hAnsi="宋体" w:eastAsia="宋体" w:cs="宋体"/>
          <w:i w:val="0"/>
          <w:iCs w:val="0"/>
          <w:caps w:val="0"/>
          <w:color w:val="333333"/>
          <w:spacing w:val="8"/>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333333"/>
          <w:spacing w:val="8"/>
          <w:sz w:val="28"/>
          <w:szCs w:val="28"/>
          <w:shd w:val="clear" w:fill="FFFFFF"/>
        </w:rPr>
        <w:t>提供个性化服务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个性化产品是一个非常流行的概念，但拍卖活动的个性化首先要解决人性化的问题，先谈人性化，再谈个性化。人性化即以人为本，万事以顺应客户需要，为客户提供便利入手。例如，悔拍是否真的要严格禁止？从感情上讲，悔拍当然是拍卖人和委托人不愿看到的事情，不过企业售出商品也不会希望它们会被原封不动的退回，可“无理由退货”的模式还是在互联网上大张旗鼓的流行开来，我们能否有所借鉴？就像保险服务一样，对于一些较为贵重的拍品，是否可以提供一个冷静期，在此期限内退货是否可以尝试不收违约金？这种方式看似有可能让一次服务颗粒无收，但却能有效提升客户信赖，为他们打消后顾之忧。</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在满足了人性化前提之后，我们才有资格谈论“个性化”。所谓拍卖服务的个性化，可以体现在主题选择、活动内容、服务氛围以及服务方式上，从中为客户提供与众不同的特点与价值，这同样会带来大量的市场机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333333"/>
          <w:spacing w:val="8"/>
          <w:sz w:val="28"/>
          <w:szCs w:val="28"/>
          <w:shd w:val="clear" w:fill="FFFFFF"/>
        </w:rPr>
        <w:t>注重活动性价比</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性价比从两个方面理解，一是网络拍卖标的价值不可太高，至少到目前为止，这是一个公认的准则；二是提供不需要花费太大精力，就能够得到竞买体验的服务。对于第一个方面，目前的网络拍卖业务基本上得到了很好的贯彻，但第二点就很值得商榷和提升了。传统拍卖会竞买人从注册到最终能够拿到物品，至少需要经历11 个环节：竞买咨询、提交注册材料、验证身份、收取保证金、领取拍卖会资料、竞价、成交、签订成交确认书、签署笔录、交易结算和提货。将这个过程原封不动搬到网上，就违背了互联网思维的基本原则，太过复杂的交易规则和交易流程，很可能让普通客户望而却步。我们能否将其进一步简化，最终令网络拍卖像网络购物一样简便？只需要一次注册，下单，支付，然后坐等收货。当然拍卖有它自身的复杂性，我们并不能照搬电商模式，不过电商平台的互联网思维却是我们应该效仿的重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333333"/>
          <w:spacing w:val="8"/>
          <w:sz w:val="28"/>
          <w:szCs w:val="28"/>
          <w:shd w:val="clear" w:fill="FFFFFF"/>
        </w:rPr>
        <w:t>提高服务“颜值”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eastAsia" w:ascii="宋体" w:hAnsi="宋体" w:eastAsia="宋体" w:cs="宋体"/>
          <w:i w:val="0"/>
          <w:iCs w:val="0"/>
          <w:caps w:val="0"/>
          <w:color w:val="333333"/>
          <w:spacing w:val="8"/>
          <w:sz w:val="28"/>
          <w:szCs w:val="28"/>
          <w:shd w:val="clear" w:fill="FFFFFF"/>
        </w:rPr>
        <w:t>“颜值”即美观。网络拍卖策划，在对于竞拍标的的选择要特别关注它的欣赏价值。有句话叫“颜值即正义”，这成为反映当前互联网年轻用户心态的经典言论。也即是说我们的网络用户，对于所提供的标的价值的认识，很大程度上是凭借它的美感而来，其次才是专家意见、行业趋势、供求关系等。因此，标的颜值具备了前所未有的强大动能。过去人们购买产品是为了使用，能够将就用，就不太在乎外观。现在则不然，社交媒体的出现，让一切产品都有机会曝光在社交网络中。因此我们在选择标的类型时，应该特别注意吸收那些具有独特美感和欣赏性的物品，尤其是要关注，这类物品买下来之后，是否适合拍照分享到社交网络之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333333"/>
          <w:spacing w:val="8"/>
          <w:sz w:val="25"/>
          <w:szCs w:val="25"/>
        </w:rPr>
      </w:pPr>
      <w:r>
        <w:rPr>
          <w:rFonts w:hint="eastAsia" w:ascii="Microsoft YaHei UI" w:hAnsi="Microsoft YaHei UI" w:eastAsia="Microsoft YaHei UI" w:cs="Microsoft YaHei UI"/>
          <w:i w:val="0"/>
          <w:iCs w:val="0"/>
          <w:caps w:val="0"/>
          <w:color w:val="333333"/>
          <w:spacing w:val="8"/>
          <w:sz w:val="25"/>
          <w:szCs w:val="25"/>
          <w:bdr w:val="single" w:color="EEEDEB" w:sz="6" w:space="0"/>
          <w:shd w:val="clear" w:fill="EEEDEB"/>
        </w:rPr>
        <w:drawing>
          <wp:inline distT="0" distB="0" distL="114300" distR="114300">
            <wp:extent cx="2162175" cy="2657475"/>
            <wp:effectExtent l="0" t="0" r="9525" b="9525"/>
            <wp:docPr id="1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IMG_259"/>
                    <pic:cNvPicPr>
                      <a:picLocks noChangeAspect="1"/>
                    </pic:cNvPicPr>
                  </pic:nvPicPr>
                  <pic:blipFill>
                    <a:blip r:embed="rId11"/>
                    <a:stretch>
                      <a:fillRect/>
                    </a:stretch>
                  </pic:blipFill>
                  <pic:spPr>
                    <a:xfrm>
                      <a:off x="0" y="0"/>
                      <a:ext cx="2162175" cy="265747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333333"/>
          <w:spacing w:val="8"/>
          <w:sz w:val="28"/>
          <w:szCs w:val="28"/>
          <w:shd w:val="clear" w:fill="FFFFFF"/>
        </w:rPr>
        <w:t>重视活动的社交属性</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社会交往即信息交流，在社交的过程中，关于产品和企业的信息会借助社交网络完成扩散。而社交本属于人类天性，借助互联网平台，网络用户对于社交的追求变得更容易得到满足。对于营造拍卖活动的社交属性，应该从如下角度出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888888"/>
          <w:spacing w:val="8"/>
          <w:sz w:val="28"/>
          <w:szCs w:val="28"/>
          <w:shd w:val="clear" w:fill="FFFFFF"/>
        </w:rPr>
        <w:t>话题植入。</w:t>
      </w:r>
      <w:r>
        <w:rPr>
          <w:rFonts w:hint="eastAsia" w:ascii="宋体" w:hAnsi="宋体" w:eastAsia="宋体" w:cs="宋体"/>
          <w:i w:val="0"/>
          <w:iCs w:val="0"/>
          <w:caps w:val="0"/>
          <w:color w:val="333333"/>
          <w:spacing w:val="8"/>
          <w:sz w:val="28"/>
          <w:szCs w:val="28"/>
          <w:shd w:val="clear" w:fill="FFFFFF"/>
        </w:rPr>
        <w:t>这意味着我们在项目宣传推广时，可以借助热门话题或创造一定的话题。例如，海尔曾经策划过洗衣机立硬币大赛，要求参赛选手们在在高速运转的洗衣机上将硬币稳稳立起，并发到朋友圈中展示。这一举措吸引了大批人群围观，很快成为朋友圈中讨论和模仿的话题，让海尔最新款洗衣机也玩了一次“借势营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888888"/>
          <w:spacing w:val="8"/>
          <w:sz w:val="28"/>
          <w:szCs w:val="28"/>
          <w:shd w:val="clear" w:fill="FFFFFF"/>
        </w:rPr>
        <w:t>为身份贴标签。</w:t>
      </w:r>
      <w:r>
        <w:rPr>
          <w:rFonts w:hint="eastAsia" w:ascii="宋体" w:hAnsi="宋体" w:eastAsia="宋体" w:cs="宋体"/>
          <w:i w:val="0"/>
          <w:iCs w:val="0"/>
          <w:caps w:val="0"/>
          <w:color w:val="333333"/>
          <w:spacing w:val="8"/>
          <w:sz w:val="28"/>
          <w:szCs w:val="28"/>
          <w:shd w:val="clear" w:fill="FFFFFF"/>
        </w:rPr>
        <w:t>标签化的意义在于，可以通过使用某种产品，获得进入某个圈子或是强化自身身份认同的机会。每个人都有自己的身份，每个人都有自己的角色，我们会在互联网上努力去表现我们扮演的角色，并按照设定的角色采取不同的行为。作为拍卖策划，我们理应让客户能够通过参加此项活动获得更多的身份标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888888"/>
          <w:spacing w:val="8"/>
          <w:sz w:val="28"/>
          <w:szCs w:val="28"/>
          <w:shd w:val="clear" w:fill="FFFFFF"/>
        </w:rPr>
        <w:t>设计分享机制。</w:t>
      </w:r>
      <w:r>
        <w:rPr>
          <w:rFonts w:hint="eastAsia" w:ascii="宋体" w:hAnsi="宋体" w:eastAsia="宋体" w:cs="宋体"/>
          <w:i w:val="0"/>
          <w:iCs w:val="0"/>
          <w:caps w:val="0"/>
          <w:color w:val="333333"/>
          <w:spacing w:val="8"/>
          <w:sz w:val="28"/>
          <w:szCs w:val="28"/>
          <w:shd w:val="clear" w:fill="FFFFFF"/>
        </w:rPr>
        <w:t>我们在策划拍卖项目时，应该考虑我们的受众会不会主动分享活动信息、会不会到朋友圈去晒单自己的收获，以及我们能否做出一些策划，令这种分享变得更简单易操作一些。借助于分享机制，活动信息通过朋友圈广告的方式完成传播扩散，这将比传统广告的效果更胜一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2020 年爆发的疫情让“宅经济”迅速升温，包括拍卖业在内的许多行业，都必须面对自身领域的数字化转型。以笔者所在的高等教育界为例，之前一直被反复提及但并没有被真正认真面对的在线授课时代，似乎一夜间就到来了。一方面，流量成为“王者”，低成本获取精准客户流量将成为王者的桂冠；另一方面，市场呼唤内容价值，一场网络拍卖会越来越不像一场传统竞价活动，而向着有内容、有趣味、有情感的网络盛会靠拢。作为拍卖业的专业人员，必须有这样清醒的认识，即我们今天遇到的一些基于环境变化的新挑战，恐怕在未来相当长一段时间内，都会成为一种常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从另一个角度而言，变化也意味着机遇，如果我们能够理解网络拍卖在下沉市场中展露出的新的趋势，把握新形态下的市场良机，那么企业实现“弯道超车”并非不可能，行业格局可能从此颠覆。不管技术如何改变，我们的初心没有改变，那就是抓住历史时机，实现行业振兴。以“互联网思维”为代表的一系列新工作的思路，会让我们的拍卖策划工作真正围绕“用户需求”这个核心，去发挥我们的最大价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shd w:val="clear" w:fill="FFFFFF"/>
        </w:rPr>
        <w:t>（作者：王硕，现任南开大学滨海学院工商管理专业教师；文章有删减，《中国拍卖》2021.1 总第174期）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宋体" w:hAnsi="宋体" w:eastAsia="宋体" w:cs="宋体"/>
          <w:b/>
          <w:bCs/>
          <w:i w:val="0"/>
          <w:iCs w:val="0"/>
          <w:caps w:val="0"/>
          <w:color w:val="333333"/>
          <w:spacing w:val="0"/>
          <w:sz w:val="36"/>
          <w:szCs w:val="36"/>
          <w:shd w:val="clear"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eastAsia" w:ascii="宋体" w:hAnsi="宋体" w:eastAsia="宋体" w:cs="宋体"/>
          <w:b/>
          <w:bCs/>
          <w:i w:val="0"/>
          <w:iCs w:val="0"/>
          <w:caps w:val="0"/>
          <w:color w:val="333333"/>
          <w:spacing w:val="0"/>
          <w:sz w:val="36"/>
          <w:szCs w:val="36"/>
          <w:shd w:val="clear" w:fill="FFFFFF"/>
          <w:lang w:val="en-US" w:eastAsia="zh-CN"/>
        </w:rPr>
      </w:pPr>
      <w:r>
        <w:rPr>
          <w:rFonts w:hint="eastAsia" w:ascii="宋体" w:hAnsi="宋体" w:eastAsia="宋体" w:cs="宋体"/>
          <w:b/>
          <w:bCs/>
          <w:i w:val="0"/>
          <w:iCs w:val="0"/>
          <w:caps w:val="0"/>
          <w:color w:val="333333"/>
          <w:spacing w:val="0"/>
          <w:sz w:val="36"/>
          <w:szCs w:val="36"/>
          <w:shd w:val="clear" w:fill="FFFFFF"/>
          <w:lang w:val="en-US" w:eastAsia="zh-CN"/>
        </w:rPr>
        <w:t>史上最震撼的御玺拍卖 见证封建王朝的兴衰史</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center"/>
        <w:rPr>
          <w:rFonts w:hint="default" w:ascii="宋体" w:hAnsi="宋体" w:eastAsia="宋体" w:cs="宋体"/>
          <w:b/>
          <w:bCs/>
          <w:i w:val="0"/>
          <w:iCs w:val="0"/>
          <w:caps w:val="0"/>
          <w:color w:val="333333"/>
          <w:spacing w:val="0"/>
          <w:sz w:val="36"/>
          <w:szCs w:val="36"/>
          <w:shd w:val="clear"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玺”为皇帝印章的专属名称，最能代表皇帝至高无上的地位。一部玺的历史，就是一部封建王朝的兴衰史。秦始皇统一天下，命丞相李斯用和氏璧雕刻成传国玉玺，作镇国神宝流传后世。《史记·秦始皇本纪》：“令子婴斋，当庙见，受玉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right="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6432" behindDoc="0" locked="0" layoutInCell="1" allowOverlap="1">
            <wp:simplePos x="0" y="0"/>
            <wp:positionH relativeFrom="column">
              <wp:posOffset>749300</wp:posOffset>
            </wp:positionH>
            <wp:positionV relativeFrom="paragraph">
              <wp:posOffset>323850</wp:posOffset>
            </wp:positionV>
            <wp:extent cx="3920490" cy="2178050"/>
            <wp:effectExtent l="0" t="0" r="3810" b="12700"/>
            <wp:wrapTopAndBottom/>
            <wp:docPr id="35"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descr="IMG_256"/>
                    <pic:cNvPicPr>
                      <a:picLocks noChangeAspect="1"/>
                    </pic:cNvPicPr>
                  </pic:nvPicPr>
                  <pic:blipFill>
                    <a:blip r:embed="rId12"/>
                    <a:stretch>
                      <a:fillRect/>
                    </a:stretch>
                  </pic:blipFill>
                  <pic:spPr>
                    <a:xfrm>
                      <a:off x="0" y="0"/>
                      <a:ext cx="3920490" cy="2178050"/>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中国人用印信来表示信用，始于周朝，到了秦朝，才有玺和印之分，皇帝用的印叫玺，臣民所用只能称为印。到了武则天时期，忌“玺”谐音不雅，改成了“宝”，自此至清代帝后及诸王印章皆称“宝”。</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lang w:val="en-US" w:eastAsia="zh-CN"/>
        </w:rPr>
        <w:t>●御宝三方，首聚于斯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right="0" w:firstLine="560" w:firstLineChars="2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在4月22日即将进行的香港苏富比春拍“中国艺术珍品”专场中，三方重要的明清御玺将聚首拍场。这三方印玺总估价共2.3至3.1亿港元，堪称史上最震撼的御玺拍卖。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4436110" cy="2487295"/>
            <wp:effectExtent l="0" t="0" r="2540" b="8255"/>
            <wp:docPr id="32" name="图片 2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descr="IMG_257"/>
                    <pic:cNvPicPr>
                      <a:picLocks noChangeAspect="1"/>
                    </pic:cNvPicPr>
                  </pic:nvPicPr>
                  <pic:blipFill>
                    <a:blip r:embed="rId13"/>
                    <a:stretch>
                      <a:fillRect/>
                    </a:stretch>
                  </pic:blipFill>
                  <pic:spPr>
                    <a:xfrm>
                      <a:off x="0" y="0"/>
                      <a:ext cx="4436110" cy="248729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其中，永乐文皇后玉玺是唯一传世的明代宫廷谥宝；康熙御宝尺寸硕大，雕刻遒劲有力；乾隆宝玺，辟谣雍正的夺嫡登基之事，宣扬皇位正统。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三件历史重器聚首拍场，有望问鼎苏富比拍卖的历史巅峰。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苏富比亚洲区主席、中国艺术品部国际主管及主席仇国仕表示：“御宝三方，首聚于斯，跨越两朝，见证历史关键时刻。朱明辉煌，也须面对换代改朝，盛清升平，亦终难逃皇朝覆亡。明清遗珍如斯，自身亦注定随着朝代更替，兴衰与共。”</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lang w:val="en-US" w:eastAsia="zh-CN"/>
        </w:rPr>
        <w:t>●一代贤后永乐文皇后玉玺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玉玺受谥人为永乐帝的皇后，徐氏乃开国大臣徐达长女、一代贤后。她体恤臣民，敢言劝谏，奠基永乐盛世有功，以身作则，祭祀诚敬，为后宫立下高尚的道德典范。此玺龙钮呈蹲坐之式，傲展十五世纪初明廷皇风。此玺为首次进入拍场的生货，其重要价值可见一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4567555" cy="4154170"/>
            <wp:effectExtent l="0" t="0" r="4445" b="17780"/>
            <wp:docPr id="42" name="图片 22"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2" descr="IMG_258"/>
                    <pic:cNvPicPr>
                      <a:picLocks noChangeAspect="1"/>
                    </pic:cNvPicPr>
                  </pic:nvPicPr>
                  <pic:blipFill>
                    <a:blip r:embed="rId14"/>
                    <a:stretch>
                      <a:fillRect/>
                    </a:stretch>
                  </pic:blipFill>
                  <pic:spPr>
                    <a:xfrm>
                      <a:off x="0" y="0"/>
                      <a:ext cx="4567555" cy="415417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明洪熙　永乐仁孝文皇后青玉龙钮谥宝</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印文：……天齐圣文皇后宝</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10x7.2x10.2cm</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估价：25,000,000 - 30,000,000 港币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徐皇后曾颁布了一部《梦感佛说第一希有大功德经》，这部经书的序文中描述了经文的来源，据说是她在洪武三十一年打坐时，在梦中被观音菩萨授予的经文。而此时的徐皇后还是燕王王妃，在经书的序文里谈及授予她的原因是她“将为天下母”。在靖难之役中，徐皇后面对大军压境，亲自在城头督战，与长子一同守住了北京城。但在这篇序文中，却丝毫未提她自己的功劳，只有对丈夫、对公婆、对神佛满满的感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这方玉玺，是由明代洪熙帝下令雕造，用以追谥母亲 - 永乐仁孝文皇后，尊藏于太庙。洪熙帝约于1425年在位，由于他执政时间不足一年，所以我们能准确地把此玺断代为1425年。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4697730" cy="4600575"/>
            <wp:effectExtent l="0" t="0" r="7620" b="9525"/>
            <wp:docPr id="36" name="图片 23"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3" descr="IMG_259"/>
                    <pic:cNvPicPr>
                      <a:picLocks noChangeAspect="1"/>
                    </pic:cNvPicPr>
                  </pic:nvPicPr>
                  <pic:blipFill>
                    <a:blip r:embed="rId15"/>
                    <a:stretch>
                      <a:fillRect/>
                    </a:stretch>
                  </pic:blipFill>
                  <pic:spPr>
                    <a:xfrm>
                      <a:off x="0" y="0"/>
                      <a:ext cx="4697730" cy="460057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明洪熙　永乐仁孝文皇后青玉龙钮谥宝</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岁月流转，朝代更迭，这方谥宝也留下了时间的痕迹。此青玉龙钮谥宝的另一边已经损毁，断裂处已经变酥变白，其余部分也有细微的裂纹，有火烧过的痕迹。明末，闯王李自成领农民起义，于1644年6月3日攻入紫禁城，短短逗留一天，便离宫迎战清军。而正是这天，太庙被摧，包括此谥宝在内，庙内宝玺与礼器尽毁。此谥宝在明朝国力巅峰时雕造，今已残损。在一物之中，见证了明代的兴盛与消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lang w:val="en-US" w:eastAsia="zh-CN"/>
        </w:rPr>
        <w:t>●开创康乾盛世“敬天勤民”玺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清康熙帝御宝檀香木异兽钮方玺，此玺尺寸硕大、雕刻有劲。此宝玺曾于2016年在香港苏富比春拍中以9260万港元成交，如今重现香港苏富比拍场。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7456" behindDoc="0" locked="0" layoutInCell="1" allowOverlap="1">
            <wp:simplePos x="0" y="0"/>
            <wp:positionH relativeFrom="column">
              <wp:posOffset>257175</wp:posOffset>
            </wp:positionH>
            <wp:positionV relativeFrom="paragraph">
              <wp:posOffset>113665</wp:posOffset>
            </wp:positionV>
            <wp:extent cx="4718050" cy="4373245"/>
            <wp:effectExtent l="0" t="0" r="6350" b="8255"/>
            <wp:wrapTopAndBottom/>
            <wp:docPr id="37" name="图片 24"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4" descr="IMG_260"/>
                    <pic:cNvPicPr>
                      <a:picLocks noChangeAspect="1"/>
                    </pic:cNvPicPr>
                  </pic:nvPicPr>
                  <pic:blipFill>
                    <a:blip r:embed="rId16"/>
                    <a:stretch>
                      <a:fillRect/>
                    </a:stretch>
                  </pic:blipFill>
                  <pic:spPr>
                    <a:xfrm>
                      <a:off x="0" y="0"/>
                      <a:ext cx="4718050" cy="4373245"/>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清康熙　康熙帝御宝檀香木异兽钮方玺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印文：敬天勤民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4384" behindDoc="0" locked="0" layoutInCell="1" allowOverlap="1">
            <wp:simplePos x="0" y="0"/>
            <wp:positionH relativeFrom="column">
              <wp:posOffset>335280</wp:posOffset>
            </wp:positionH>
            <wp:positionV relativeFrom="paragraph">
              <wp:posOffset>187960</wp:posOffset>
            </wp:positionV>
            <wp:extent cx="4484370" cy="4411345"/>
            <wp:effectExtent l="0" t="0" r="11430" b="8255"/>
            <wp:wrapTopAndBottom/>
            <wp:docPr id="43" name="图片 25"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5" descr="IMG_261"/>
                    <pic:cNvPicPr>
                      <a:picLocks noChangeAspect="1"/>
                    </pic:cNvPicPr>
                  </pic:nvPicPr>
                  <pic:blipFill>
                    <a:blip r:embed="rId17"/>
                    <a:stretch>
                      <a:fillRect/>
                    </a:stretch>
                  </pic:blipFill>
                  <pic:spPr>
                    <a:xfrm>
                      <a:off x="0" y="0"/>
                      <a:ext cx="4484370" cy="4411345"/>
                    </a:xfrm>
                    <a:prstGeom prst="rect">
                      <a:avLst/>
                    </a:prstGeom>
                    <a:noFill/>
                    <a:ln w="9525">
                      <a:noFill/>
                    </a:ln>
                  </pic:spPr>
                </pic:pic>
              </a:graphicData>
            </a:graphic>
          </wp:anchor>
        </w:drawing>
      </w:r>
      <w:r>
        <w:rPr>
          <w:rFonts w:hint="eastAsia" w:ascii="宋体" w:hAnsi="宋体" w:eastAsia="宋体" w:cs="宋体"/>
          <w:i w:val="0"/>
          <w:iCs w:val="0"/>
          <w:caps w:val="0"/>
          <w:color w:val="333333"/>
          <w:spacing w:val="0"/>
          <w:sz w:val="28"/>
          <w:szCs w:val="28"/>
          <w:shd w:val="clear" w:fill="FFFFFF"/>
        </w:rPr>
        <w:t>10.2x10.2x11cm</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估价：80,000,000 - 100,000,000 港币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印文曰“敬天勤民”是康熙政纲的重要内容。这方檀香木印玺是康熙早年时由皇帝下令雕造。在康熙看来，敬天与勤民是一体的，天意即是民意，敬天就要爱民。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清康熙　康熙帝御宝檀香木异兽钮方玺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这是他由始至终坚持的一项基本治国方略、为政的座右铭。因此，他在位时刻制此方“敬天勤民”印。这是康熙帝所制的印玺中最大的一方，象征着“天命”此为治国之本。</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5408" behindDoc="0" locked="0" layoutInCell="1" allowOverlap="1">
            <wp:simplePos x="0" y="0"/>
            <wp:positionH relativeFrom="column">
              <wp:posOffset>311785</wp:posOffset>
            </wp:positionH>
            <wp:positionV relativeFrom="paragraph">
              <wp:posOffset>15240</wp:posOffset>
            </wp:positionV>
            <wp:extent cx="4630420" cy="4240530"/>
            <wp:effectExtent l="0" t="0" r="17780" b="7620"/>
            <wp:wrapTopAndBottom/>
            <wp:docPr id="33" name="图片 26"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6" descr="IMG_262"/>
                    <pic:cNvPicPr>
                      <a:picLocks noChangeAspect="1"/>
                    </pic:cNvPicPr>
                  </pic:nvPicPr>
                  <pic:blipFill>
                    <a:blip r:embed="rId18"/>
                    <a:stretch>
                      <a:fillRect/>
                    </a:stretch>
                  </pic:blipFill>
                  <pic:spPr>
                    <a:xfrm>
                      <a:off x="0" y="0"/>
                      <a:ext cx="4630420" cy="4240530"/>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清乾隆　乾隆帝御宝交龙钮白玉玺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印文：纪恩堂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10.4x10.4x7.8cm</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估价：125,000,000 - 180,000,000 港币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lang w:val="en-US" w:eastAsia="zh-CN"/>
        </w:rPr>
        <w:t>●乾隆交龙钮白玉玺为雍正夺嫡辟谣的天价宝玺</w:t>
      </w: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乾隆的这方玺与康熙檀香木玺一脉相承。</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3360" behindDoc="0" locked="0" layoutInCell="1" allowOverlap="1">
            <wp:simplePos x="0" y="0"/>
            <wp:positionH relativeFrom="column">
              <wp:posOffset>397510</wp:posOffset>
            </wp:positionH>
            <wp:positionV relativeFrom="paragraph">
              <wp:posOffset>66675</wp:posOffset>
            </wp:positionV>
            <wp:extent cx="4655820" cy="4513580"/>
            <wp:effectExtent l="0" t="0" r="11430" b="1270"/>
            <wp:wrapTopAndBottom/>
            <wp:docPr id="38" name="图片 27"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7" descr="IMG_263"/>
                    <pic:cNvPicPr>
                      <a:picLocks noChangeAspect="1"/>
                    </pic:cNvPicPr>
                  </pic:nvPicPr>
                  <pic:blipFill>
                    <a:blip r:embed="rId19"/>
                    <a:stretch>
                      <a:fillRect/>
                    </a:stretch>
                  </pic:blipFill>
                  <pic:spPr>
                    <a:xfrm>
                      <a:off x="0" y="0"/>
                      <a:ext cx="4655820" cy="4513580"/>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清乾隆　乾隆帝御宝交龙钮白玉玺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乾隆皇帝的这一方白玉玺，交龙钮，阳文篆书“纪恩堂”三字，印体环刻乾隆帝御制《纪恩堂记》全文，记载了他与圣祖康熙帝的祖孙情谊。此白玉玺分别于1994年和2004年在香港苏富比两次上拍，递藏于法国藏家和美国私人藏家，距离上次的拍卖已经17年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乾隆帝年幼时曾在纪恩堂与康熙首次见面，被康熙留在宫中，亲自教诲，且许诺严遵祖训，勤民亲贤。此玺原藏于纪恩堂中，既念祖孙亲情，并扬皇位正统，为其父皇雍正夺嫡登基的事情辟谣，暗示康熙喜爱皇孙，早已有意属弘历承继大业，是以传位四皇子胤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2336" behindDoc="0" locked="0" layoutInCell="1" allowOverlap="1">
            <wp:simplePos x="0" y="0"/>
            <wp:positionH relativeFrom="column">
              <wp:posOffset>-180975</wp:posOffset>
            </wp:positionH>
            <wp:positionV relativeFrom="paragraph">
              <wp:posOffset>283845</wp:posOffset>
            </wp:positionV>
            <wp:extent cx="5591175" cy="3371850"/>
            <wp:effectExtent l="0" t="0" r="9525" b="0"/>
            <wp:wrapTopAndBottom/>
            <wp:docPr id="39" name="图片 28"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8" descr="IMG_264"/>
                    <pic:cNvPicPr>
                      <a:picLocks noChangeAspect="1"/>
                    </pic:cNvPicPr>
                  </pic:nvPicPr>
                  <pic:blipFill>
                    <a:blip r:embed="rId20"/>
                    <a:stretch>
                      <a:fillRect/>
                    </a:stretch>
                  </pic:blipFill>
                  <pic:spPr>
                    <a:xfrm>
                      <a:off x="0" y="0"/>
                      <a:ext cx="5591175" cy="3371850"/>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圆明园纪恩堂现址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纪恩堂共有两处，一处位于圆明园的镂月开云殿，是乾隆初次觐见康熙的地方；另一处在热河避暑山庄内康熙赐居的住所。为了昭显祖父的眷顾，乾隆特别把两处均命名为“纪恩堂”，并且分别放置一玺。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1312" behindDoc="0" locked="0" layoutInCell="1" allowOverlap="1">
            <wp:simplePos x="0" y="0"/>
            <wp:positionH relativeFrom="column">
              <wp:posOffset>-250190</wp:posOffset>
            </wp:positionH>
            <wp:positionV relativeFrom="paragraph">
              <wp:posOffset>3810</wp:posOffset>
            </wp:positionV>
            <wp:extent cx="6096000" cy="5972175"/>
            <wp:effectExtent l="0" t="0" r="0" b="9525"/>
            <wp:wrapTopAndBottom/>
            <wp:docPr id="34" name="图片 29"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descr="IMG_265"/>
                    <pic:cNvPicPr>
                      <a:picLocks noChangeAspect="1"/>
                    </pic:cNvPicPr>
                  </pic:nvPicPr>
                  <pic:blipFill>
                    <a:blip r:embed="rId21"/>
                    <a:stretch>
                      <a:fillRect/>
                    </a:stretch>
                  </pic:blipFill>
                  <pic:spPr>
                    <a:xfrm>
                      <a:off x="0" y="0"/>
                      <a:ext cx="6096000" cy="5972175"/>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《乾隆宝薮》中的“纪恩堂”印玺（左上）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末，圆明园遭到毁坏，纪恩堂也未能幸免于难，所幸此玺虽受火伤，仍然幸存至今。而避暑山庄中的一玺现藏于北京故宫博物院。苏富比香港即将拍卖的这一玺可以说是拍卖市场上唯一的乾隆“纪恩堂”玺，亦是拍卖史上估价最高的宝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5400675" cy="5553075"/>
            <wp:effectExtent l="0" t="0" r="9525" b="9525"/>
            <wp:docPr id="40" name="图片 30"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0" descr="IMG_266"/>
                    <pic:cNvPicPr>
                      <a:picLocks noChangeAspect="1"/>
                    </pic:cNvPicPr>
                  </pic:nvPicPr>
                  <pic:blipFill>
                    <a:blip r:embed="rId22"/>
                    <a:stretch>
                      <a:fillRect/>
                    </a:stretch>
                  </pic:blipFill>
                  <pic:spPr>
                    <a:xfrm>
                      <a:off x="0" y="0"/>
                      <a:ext cx="5400675" cy="555307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5334000" cy="5505450"/>
            <wp:effectExtent l="0" t="0" r="0" b="0"/>
            <wp:docPr id="30" name="图片 31"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1" descr="IMG_267"/>
                    <pic:cNvPicPr>
                      <a:picLocks noChangeAspect="1"/>
                    </pic:cNvPicPr>
                  </pic:nvPicPr>
                  <pic:blipFill>
                    <a:blip r:embed="rId23"/>
                    <a:stretch>
                      <a:fillRect/>
                    </a:stretch>
                  </pic:blipFill>
                  <pic:spPr>
                    <a:xfrm>
                      <a:off x="0" y="0"/>
                      <a:ext cx="5334000" cy="550545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5381625" cy="5553075"/>
            <wp:effectExtent l="0" t="0" r="9525" b="9525"/>
            <wp:docPr id="41" name="图片 32"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2" descr="IMG_268"/>
                    <pic:cNvPicPr>
                      <a:picLocks noChangeAspect="1"/>
                    </pic:cNvPicPr>
                  </pic:nvPicPr>
                  <pic:blipFill>
                    <a:blip r:embed="rId24"/>
                    <a:stretch>
                      <a:fillRect/>
                    </a:stretch>
                  </pic:blipFill>
                  <pic:spPr>
                    <a:xfrm>
                      <a:off x="0" y="0"/>
                      <a:ext cx="5381625" cy="555307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inline distT="0" distB="0" distL="114300" distR="114300">
            <wp:extent cx="2219325" cy="4238625"/>
            <wp:effectExtent l="0" t="0" r="9525" b="9525"/>
            <wp:docPr id="44" name="图片 33"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3" descr="IMG_269"/>
                    <pic:cNvPicPr>
                      <a:picLocks noChangeAspect="1"/>
                    </pic:cNvPicPr>
                  </pic:nvPicPr>
                  <pic:blipFill>
                    <a:blip r:embed="rId25"/>
                    <a:stretch>
                      <a:fillRect/>
                    </a:stretch>
                  </pic:blipFill>
                  <pic:spPr>
                    <a:xfrm>
                      <a:off x="0" y="0"/>
                      <a:ext cx="2219325" cy="423862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《乾隆宝薮》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《乾隆宝薮》是乾隆的专属印谱，记录了乾隆印玺1000余方，其中常用的有500余方。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清乾隆六十年（1795年） 白玉御题诗「太上皇帝」圆玺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直径4.6cm；高5cm</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拍卖日期：2011-12-06</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拍卖行：北京保利拍卖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成交价（RMB）：161,000,000元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drawing>
          <wp:anchor distT="0" distB="0" distL="114300" distR="114300" simplePos="0" relativeHeight="251660288" behindDoc="0" locked="0" layoutInCell="1" allowOverlap="1">
            <wp:simplePos x="0" y="0"/>
            <wp:positionH relativeFrom="column">
              <wp:posOffset>1556385</wp:posOffset>
            </wp:positionH>
            <wp:positionV relativeFrom="paragraph">
              <wp:posOffset>-210820</wp:posOffset>
            </wp:positionV>
            <wp:extent cx="2275840" cy="5330190"/>
            <wp:effectExtent l="0" t="0" r="10160" b="3810"/>
            <wp:wrapNone/>
            <wp:docPr id="31" name="图片 34"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4" descr="IMG_270"/>
                    <pic:cNvPicPr>
                      <a:picLocks noChangeAspect="1"/>
                    </pic:cNvPicPr>
                  </pic:nvPicPr>
                  <pic:blipFill>
                    <a:blip r:embed="rId26"/>
                    <a:stretch>
                      <a:fillRect/>
                    </a:stretch>
                  </pic:blipFill>
                  <pic:spPr>
                    <a:xfrm>
                      <a:off x="0" y="0"/>
                      <a:ext cx="2275840" cy="5330190"/>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目前，拍卖市场上最贵的玺是2011年北京保利秋拍上成交的清乾隆六十年（1795年） 白玉御题诗「太上皇帝」圆玺，以1.61亿元人民币成交。纵观拍卖市场高价玺印，玺印主人身份、材质、雕工、流传有序、存世量等综合因素，决定了玺印价格的高低。</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600"/>
        <w:jc w:val="left"/>
        <w:rPr>
          <w:rFonts w:hint="eastAsia" w:ascii="宋体" w:hAnsi="宋体" w:eastAsia="宋体" w:cs="宋体"/>
          <w:i w:val="0"/>
          <w:iCs w:val="0"/>
          <w:caps w:val="0"/>
          <w:color w:val="333333"/>
          <w:spacing w:val="0"/>
          <w:sz w:val="28"/>
          <w:szCs w:val="28"/>
          <w:shd w:val="clear" w:fill="FFFFFF"/>
        </w:rPr>
      </w:pPr>
    </w:p>
    <w:p>
      <w:pPr>
        <w:rPr>
          <w:rFonts w:ascii="仿宋" w:hAnsi="仿宋" w:eastAsia="仿宋"/>
          <w:sz w:val="28"/>
          <w:szCs w:val="28"/>
        </w:rPr>
      </w:pPr>
    </w:p>
    <w:p>
      <w:pPr>
        <w:rPr>
          <w:rFonts w:hint="eastAsia" w:ascii="宋体" w:hAnsi="宋体" w:eastAsia="宋体" w:cs="宋体"/>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Helvetica">
    <w:altName w:val="Arial"/>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B4C5F"/>
    <w:rsid w:val="05B17196"/>
    <w:rsid w:val="05F8228B"/>
    <w:rsid w:val="07946E23"/>
    <w:rsid w:val="0AD92931"/>
    <w:rsid w:val="0C301FC5"/>
    <w:rsid w:val="0CD0159B"/>
    <w:rsid w:val="0D01176F"/>
    <w:rsid w:val="0D4508C1"/>
    <w:rsid w:val="127A5957"/>
    <w:rsid w:val="12C141F7"/>
    <w:rsid w:val="14797957"/>
    <w:rsid w:val="19A40077"/>
    <w:rsid w:val="24513006"/>
    <w:rsid w:val="25805707"/>
    <w:rsid w:val="26526E0E"/>
    <w:rsid w:val="28651D49"/>
    <w:rsid w:val="2B7D27CF"/>
    <w:rsid w:val="2C296874"/>
    <w:rsid w:val="2DEB58DC"/>
    <w:rsid w:val="2EFC3DA5"/>
    <w:rsid w:val="2F9E65E6"/>
    <w:rsid w:val="32D15E71"/>
    <w:rsid w:val="3BEF58CA"/>
    <w:rsid w:val="3F206A3E"/>
    <w:rsid w:val="3F40119B"/>
    <w:rsid w:val="3F4256B0"/>
    <w:rsid w:val="3FDB4C5F"/>
    <w:rsid w:val="421F2F4F"/>
    <w:rsid w:val="42C278E2"/>
    <w:rsid w:val="4658652E"/>
    <w:rsid w:val="46967DED"/>
    <w:rsid w:val="493168B7"/>
    <w:rsid w:val="4AE16100"/>
    <w:rsid w:val="4BB3498B"/>
    <w:rsid w:val="4BD53DEA"/>
    <w:rsid w:val="4D7F2BC2"/>
    <w:rsid w:val="4F100609"/>
    <w:rsid w:val="56F4242E"/>
    <w:rsid w:val="5A2A59CD"/>
    <w:rsid w:val="5B2C695A"/>
    <w:rsid w:val="5D1239DE"/>
    <w:rsid w:val="5E522185"/>
    <w:rsid w:val="644D2FBF"/>
    <w:rsid w:val="6474414C"/>
    <w:rsid w:val="66691A2F"/>
    <w:rsid w:val="69D84500"/>
    <w:rsid w:val="6B5F7BA1"/>
    <w:rsid w:val="713D7E79"/>
    <w:rsid w:val="771D1077"/>
    <w:rsid w:val="7AAD6CCC"/>
    <w:rsid w:val="7BBC1EEE"/>
    <w:rsid w:val="7DDD3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rFonts w:hint="eastAsia" w:ascii="宋体" w:hAnsi="宋体" w:eastAsia="宋体" w:cs="宋体"/>
      <w:color w:val="800080"/>
      <w:sz w:val="18"/>
      <w:szCs w:val="18"/>
      <w:u w:val="single"/>
    </w:rPr>
  </w:style>
  <w:style w:type="character" w:styleId="12">
    <w:name w:val="Hyperlink"/>
    <w:basedOn w:val="8"/>
    <w:qFormat/>
    <w:uiPriority w:val="0"/>
    <w:rPr>
      <w:color w:val="0000FF"/>
      <w:u w:val="single"/>
    </w:rPr>
  </w:style>
  <w:style w:type="paragraph" w:customStyle="1" w:styleId="13">
    <w:name w:val="[基本段落]"/>
    <w:basedOn w:val="14"/>
    <w:unhideWhenUsed/>
    <w:qFormat/>
    <w:uiPriority w:val="99"/>
    <w:pPr>
      <w:spacing w:beforeLines="0" w:afterLines="0"/>
    </w:pPr>
    <w:rPr>
      <w:rFonts w:hint="eastAsia"/>
      <w:sz w:val="24"/>
    </w:rPr>
  </w:style>
  <w:style w:type="paragraph" w:customStyle="1" w:styleId="14">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 w:type="paragraph" w:customStyle="1" w:styleId="15">
    <w:name w:val="样式 10 磅"/>
    <w:next w:val="16"/>
    <w:qFormat/>
    <w:uiPriority w:val="0"/>
    <w:pPr>
      <w:widowControl w:val="0"/>
      <w:jc w:val="both"/>
    </w:pPr>
    <w:rPr>
      <w:rFonts w:ascii="Calibri" w:hAnsi="Calibri" w:eastAsia="宋体" w:cs="Calibri"/>
      <w:kern w:val="2"/>
      <w:sz w:val="21"/>
      <w:szCs w:val="21"/>
      <w:lang w:val="en-US" w:eastAsia="zh-CN" w:bidi="ar-SA"/>
    </w:rPr>
  </w:style>
  <w:style w:type="paragraph" w:customStyle="1" w:styleId="16">
    <w:name w:val="样式 10 磅1"/>
    <w:qFormat/>
    <w:uiPriority w:val="0"/>
    <w:pPr>
      <w:widowControl w:val="0"/>
      <w:jc w:val="both"/>
    </w:pPr>
    <w:rPr>
      <w:rFonts w:ascii="Calibri" w:hAnsi="Calibri" w:eastAsia="宋体" w:cs="Calibri"/>
      <w:kern w:val="2"/>
      <w:sz w:val="21"/>
      <w:szCs w:val="21"/>
      <w:lang w:val="en-US" w:eastAsia="zh-CN" w:bidi="ar-SA"/>
    </w:rPr>
  </w:style>
  <w:style w:type="paragraph" w:customStyle="1" w:styleId="17">
    <w:name w:val="正文4"/>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chart" Target="charts/chart1.xml"/><Relationship Id="rId6" Type="http://schemas.openxmlformats.org/officeDocument/2006/relationships/image" Target="../NUL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F:\2020&#24180;&#20869;&#25293;&#21327;\2020&#24180;&#25968;&#25454;&#32463;&#33829;&#32479;&#35745;&#20998;&#26512;\&#25968;&#25454;&#32463;&#33829;&#32479;&#35745;&#20998;&#265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0222222222222"/>
          <c:y val="0.0822078945792148"/>
          <c:w val="0.882069553805774"/>
          <c:h val="0.692801481481482"/>
        </c:manualLayout>
      </c:layout>
      <c:barChart>
        <c:barDir val="col"/>
        <c:grouping val="clustered"/>
        <c:varyColors val="0"/>
        <c:ser>
          <c:idx val="0"/>
          <c:order val="0"/>
          <c:tx>
            <c:strRef>
              <c:f>[数据经营统计分析.xlsx]Sheet1!$B$16:$B$19</c:f>
              <c:strCache>
                <c:ptCount val="1"/>
                <c:pt idx="0">
                  <c:v>2020年委托来源成交额变化情况 2019年</c:v>
                </c:pt>
              </c:strCache>
            </c:strRef>
          </c:tx>
          <c:spPr>
            <a:pattFill prst="dkDnDiag">
              <a:fgClr>
                <a:srgbClr val="2CB288"/>
              </a:fgClr>
              <a:bgClr>
                <a:schemeClr val="bg1"/>
              </a:bgClr>
            </a:pattFill>
            <a:ln>
              <a:noFill/>
            </a:ln>
            <a:effectLst/>
          </c:spPr>
          <c:invertIfNegative val="0"/>
          <c:dLbls>
            <c:delete val="1"/>
          </c:dLbls>
          <c:cat>
            <c:strRef>
              <c:f>[数据经营统计分析.xlsx]Sheet1!$A$20:$A$26</c:f>
              <c:strCache>
                <c:ptCount val="7"/>
                <c:pt idx="0">
                  <c:v>内蒙古自治区</c:v>
                </c:pt>
                <c:pt idx="1">
                  <c:v>法院委托</c:v>
                </c:pt>
                <c:pt idx="2">
                  <c:v>政府部门委托</c:v>
                </c:pt>
                <c:pt idx="3">
                  <c:v>金融机构委托</c:v>
                </c:pt>
                <c:pt idx="4">
                  <c:v>破产清算组委托</c:v>
                </c:pt>
                <c:pt idx="5">
                  <c:v>其他机构委托</c:v>
                </c:pt>
                <c:pt idx="6">
                  <c:v>个人委托</c:v>
                </c:pt>
              </c:strCache>
            </c:strRef>
          </c:cat>
          <c:val>
            <c:numRef>
              <c:f>[数据经营统计分析.xlsx]Sheet1!$B$20:$B$26</c:f>
              <c:numCache>
                <c:formatCode>General</c:formatCode>
                <c:ptCount val="7"/>
                <c:pt idx="0">
                  <c:v>1001058.8018</c:v>
                </c:pt>
                <c:pt idx="1">
                  <c:v>8624.6882</c:v>
                </c:pt>
                <c:pt idx="2">
                  <c:v>728404.0154</c:v>
                </c:pt>
                <c:pt idx="3">
                  <c:v>77819.6583</c:v>
                </c:pt>
                <c:pt idx="4">
                  <c:v>182.85</c:v>
                </c:pt>
                <c:pt idx="5">
                  <c:v>126468.3414</c:v>
                </c:pt>
                <c:pt idx="6">
                  <c:v>59559.2485</c:v>
                </c:pt>
              </c:numCache>
            </c:numRef>
          </c:val>
        </c:ser>
        <c:ser>
          <c:idx val="1"/>
          <c:order val="1"/>
          <c:tx>
            <c:strRef>
              <c:f>[数据经营统计分析.xlsx]Sheet1!$C$16:$C$19</c:f>
              <c:strCache>
                <c:ptCount val="1"/>
                <c:pt idx="0">
                  <c:v>2020年委托来源成交额变化情况 比例</c:v>
                </c:pt>
              </c:strCache>
            </c:strRef>
          </c:tx>
          <c:spPr>
            <a:pattFill prst="dkDnDiag">
              <a:fgClr>
                <a:srgbClr val="DC3A4A"/>
              </a:fgClr>
              <a:bgClr>
                <a:schemeClr val="bg1"/>
              </a:bgClr>
            </a:pattFill>
            <a:ln>
              <a:noFill/>
            </a:ln>
            <a:effectLst/>
          </c:spPr>
          <c:invertIfNegative val="0"/>
          <c:dLbls>
            <c:delete val="1"/>
          </c:dLbls>
          <c:cat>
            <c:strRef>
              <c:f>[数据经营统计分析.xlsx]Sheet1!$A$20:$A$26</c:f>
              <c:strCache>
                <c:ptCount val="7"/>
                <c:pt idx="0">
                  <c:v>内蒙古自治区</c:v>
                </c:pt>
                <c:pt idx="1">
                  <c:v>法院委托</c:v>
                </c:pt>
                <c:pt idx="2">
                  <c:v>政府部门委托</c:v>
                </c:pt>
                <c:pt idx="3">
                  <c:v>金融机构委托</c:v>
                </c:pt>
                <c:pt idx="4">
                  <c:v>破产清算组委托</c:v>
                </c:pt>
                <c:pt idx="5">
                  <c:v>其他机构委托</c:v>
                </c:pt>
                <c:pt idx="6">
                  <c:v>个人委托</c:v>
                </c:pt>
              </c:strCache>
            </c:strRef>
          </c:cat>
          <c:val>
            <c:numRef>
              <c:f>[数据经营统计分析.xlsx]Sheet1!$C$20:$C$26</c:f>
              <c:numCache>
                <c:formatCode>0.00%</c:formatCode>
                <c:ptCount val="7"/>
                <c:pt idx="0">
                  <c:v>1</c:v>
                </c:pt>
                <c:pt idx="1">
                  <c:v>0.00861556602318663</c:v>
                </c:pt>
                <c:pt idx="2">
                  <c:v>0.727633595639197</c:v>
                </c:pt>
                <c:pt idx="3">
                  <c:v>0.0777373498540473</c:v>
                </c:pt>
                <c:pt idx="4">
                  <c:v>0</c:v>
                </c:pt>
                <c:pt idx="5">
                  <c:v>0.126334578121283</c:v>
                </c:pt>
                <c:pt idx="6">
                  <c:v>0.0594962537594263</c:v>
                </c:pt>
              </c:numCache>
            </c:numRef>
          </c:val>
        </c:ser>
        <c:ser>
          <c:idx val="2"/>
          <c:order val="2"/>
          <c:tx>
            <c:strRef>
              <c:f>[数据经营统计分析.xlsx]Sheet1!$D$16:$D$19</c:f>
              <c:strCache>
                <c:ptCount val="1"/>
                <c:pt idx="0">
                  <c:v>2020年委托来源成交额变化情况 2020年</c:v>
                </c:pt>
              </c:strCache>
            </c:strRef>
          </c:tx>
          <c:spPr>
            <a:pattFill prst="dkDnDiag">
              <a:fgClr>
                <a:srgbClr val="EE822B"/>
              </a:fgClr>
              <a:bgClr>
                <a:schemeClr val="bg1"/>
              </a:bgClr>
            </a:pattFill>
            <a:ln>
              <a:noFill/>
            </a:ln>
            <a:effectLst/>
          </c:spPr>
          <c:invertIfNegative val="0"/>
          <c:dLbls>
            <c:delete val="1"/>
          </c:dLbls>
          <c:cat>
            <c:strRef>
              <c:f>[数据经营统计分析.xlsx]Sheet1!$A$20:$A$26</c:f>
              <c:strCache>
                <c:ptCount val="7"/>
                <c:pt idx="0">
                  <c:v>内蒙古自治区</c:v>
                </c:pt>
                <c:pt idx="1">
                  <c:v>法院委托</c:v>
                </c:pt>
                <c:pt idx="2">
                  <c:v>政府部门委托</c:v>
                </c:pt>
                <c:pt idx="3">
                  <c:v>金融机构委托</c:v>
                </c:pt>
                <c:pt idx="4">
                  <c:v>破产清算组委托</c:v>
                </c:pt>
                <c:pt idx="5">
                  <c:v>其他机构委托</c:v>
                </c:pt>
                <c:pt idx="6">
                  <c:v>个人委托</c:v>
                </c:pt>
              </c:strCache>
            </c:strRef>
          </c:cat>
          <c:val>
            <c:numRef>
              <c:f>[数据经营统计分析.xlsx]Sheet1!$D$20:$D$26</c:f>
              <c:numCache>
                <c:formatCode>General</c:formatCode>
                <c:ptCount val="7"/>
                <c:pt idx="0">
                  <c:v>687298.2303</c:v>
                </c:pt>
                <c:pt idx="1">
                  <c:v>14729.3797</c:v>
                </c:pt>
                <c:pt idx="2">
                  <c:v>431323.4332</c:v>
                </c:pt>
                <c:pt idx="3">
                  <c:v>92258.796</c:v>
                </c:pt>
                <c:pt idx="4">
                  <c:v>763.3918</c:v>
                </c:pt>
                <c:pt idx="5">
                  <c:v>134015.5205</c:v>
                </c:pt>
                <c:pt idx="6">
                  <c:v>14207.709</c:v>
                </c:pt>
              </c:numCache>
            </c:numRef>
          </c:val>
        </c:ser>
        <c:ser>
          <c:idx val="3"/>
          <c:order val="3"/>
          <c:tx>
            <c:strRef>
              <c:f>[数据经营统计分析.xlsx]Sheet1!$E$16:$E$19</c:f>
              <c:strCache>
                <c:ptCount val="1"/>
                <c:pt idx="0">
                  <c:v>2020年委托来源成交额变化情况 比例</c:v>
                </c:pt>
              </c:strCache>
            </c:strRef>
          </c:tx>
          <c:spPr>
            <a:pattFill prst="dkDnDiag">
              <a:fgClr>
                <a:srgbClr val="2CB288"/>
              </a:fgClr>
              <a:bgClr>
                <a:schemeClr val="bg1"/>
              </a:bgClr>
            </a:pattFill>
            <a:ln>
              <a:noFill/>
            </a:ln>
            <a:effectLst/>
          </c:spPr>
          <c:invertIfNegative val="0"/>
          <c:dLbls>
            <c:delete val="1"/>
          </c:dLbls>
          <c:cat>
            <c:strRef>
              <c:f>[数据经营统计分析.xlsx]Sheet1!$A$20:$A$26</c:f>
              <c:strCache>
                <c:ptCount val="7"/>
                <c:pt idx="0">
                  <c:v>内蒙古自治区</c:v>
                </c:pt>
                <c:pt idx="1">
                  <c:v>法院委托</c:v>
                </c:pt>
                <c:pt idx="2">
                  <c:v>政府部门委托</c:v>
                </c:pt>
                <c:pt idx="3">
                  <c:v>金融机构委托</c:v>
                </c:pt>
                <c:pt idx="4">
                  <c:v>破产清算组委托</c:v>
                </c:pt>
                <c:pt idx="5">
                  <c:v>其他机构委托</c:v>
                </c:pt>
                <c:pt idx="6">
                  <c:v>个人委托</c:v>
                </c:pt>
              </c:strCache>
            </c:strRef>
          </c:cat>
          <c:val>
            <c:numRef>
              <c:f>[数据经营统计分析.xlsx]Sheet1!$E$20:$E$26</c:f>
              <c:numCache>
                <c:formatCode>0.00%</c:formatCode>
                <c:ptCount val="7"/>
                <c:pt idx="0">
                  <c:v>1</c:v>
                </c:pt>
                <c:pt idx="1">
                  <c:v>0.0214308418829636</c:v>
                </c:pt>
                <c:pt idx="2">
                  <c:v>0.627563718608341</c:v>
                </c:pt>
                <c:pt idx="3">
                  <c:v>0.134234007789791</c:v>
                </c:pt>
                <c:pt idx="4">
                  <c:v>0.00111071404864055</c:v>
                </c:pt>
                <c:pt idx="5">
                  <c:v>0.19498889214585</c:v>
                </c:pt>
                <c:pt idx="6">
                  <c:v>0.0206718253789166</c:v>
                </c:pt>
              </c:numCache>
            </c:numRef>
          </c:val>
        </c:ser>
        <c:ser>
          <c:idx val="4"/>
          <c:order val="4"/>
          <c:tx>
            <c:strRef>
              <c:f>[数据经营统计分析.xlsx]Sheet1!$F$16:$F$19</c:f>
              <c:strCache>
                <c:ptCount val="1"/>
                <c:pt idx="0">
                  <c:v>2020年委托来源成交额变化情况 单位：万元 增长率</c:v>
                </c:pt>
              </c:strCache>
            </c:strRef>
          </c:tx>
          <c:spPr>
            <a:pattFill prst="dkDnDiag">
              <a:fgClr>
                <a:srgbClr val="DC3A4A"/>
              </a:fgClr>
              <a:bgClr>
                <a:schemeClr val="bg1"/>
              </a:bgClr>
            </a:pattFill>
            <a:ln>
              <a:noFill/>
            </a:ln>
            <a:effectLst/>
          </c:spPr>
          <c:invertIfNegative val="0"/>
          <c:dLbls>
            <c:delete val="1"/>
          </c:dLbls>
          <c:cat>
            <c:strRef>
              <c:f>[数据经营统计分析.xlsx]Sheet1!$A$20:$A$26</c:f>
              <c:strCache>
                <c:ptCount val="7"/>
                <c:pt idx="0">
                  <c:v>内蒙古自治区</c:v>
                </c:pt>
                <c:pt idx="1">
                  <c:v>法院委托</c:v>
                </c:pt>
                <c:pt idx="2">
                  <c:v>政府部门委托</c:v>
                </c:pt>
                <c:pt idx="3">
                  <c:v>金融机构委托</c:v>
                </c:pt>
                <c:pt idx="4">
                  <c:v>破产清算组委托</c:v>
                </c:pt>
                <c:pt idx="5">
                  <c:v>其他机构委托</c:v>
                </c:pt>
                <c:pt idx="6">
                  <c:v>个人委托</c:v>
                </c:pt>
              </c:strCache>
            </c:strRef>
          </c:cat>
          <c:val>
            <c:numRef>
              <c:f>[数据经营统计分析.xlsx]Sheet1!$F$20:$F$26</c:f>
              <c:numCache>
                <c:formatCode>0.00%</c:formatCode>
                <c:ptCount val="7"/>
                <c:pt idx="0">
                  <c:v>-0.313428712614912</c:v>
                </c:pt>
                <c:pt idx="1">
                  <c:v>0.707815906898524</c:v>
                </c:pt>
                <c:pt idx="2">
                  <c:v>-0.407851379068606</c:v>
                </c:pt>
                <c:pt idx="3">
                  <c:v>0.18554614624927</c:v>
                </c:pt>
                <c:pt idx="4">
                  <c:v>3.17496199070276</c:v>
                </c:pt>
                <c:pt idx="5">
                  <c:v>0.0596764298199297</c:v>
                </c:pt>
                <c:pt idx="6">
                  <c:v>-0.76145251396179</c:v>
                </c:pt>
              </c:numCache>
            </c:numRef>
          </c:val>
        </c:ser>
        <c:dLbls>
          <c:showLegendKey val="0"/>
          <c:showVal val="0"/>
          <c:showCatName val="0"/>
          <c:showSerName val="0"/>
          <c:showPercent val="0"/>
          <c:showBubbleSize val="0"/>
        </c:dLbls>
        <c:gapWidth val="219"/>
        <c:serLines>
          <c:spPr>
            <a:ln w="9525" cap="flat" cmpd="sng" algn="ctr">
              <a:solidFill>
                <a:schemeClr val="tx1">
                  <a:lumMod val="35000"/>
                  <a:lumOff val="65000"/>
                </a:schemeClr>
              </a:solidFill>
              <a:round/>
            </a:ln>
            <a:effectLst/>
          </c:spPr>
        </c:serLines>
        <c:axId val="621199657"/>
        <c:axId val="398037055"/>
      </c:barChart>
      <c:catAx>
        <c:axId val="62119965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mn-cs"/>
              </a:defRPr>
            </a:pPr>
          </a:p>
        </c:txPr>
        <c:crossAx val="398037055"/>
        <c:crosses val="autoZero"/>
        <c:auto val="1"/>
        <c:lblAlgn val="ctr"/>
        <c:lblOffset val="100"/>
        <c:noMultiLvlLbl val="0"/>
      </c:catAx>
      <c:valAx>
        <c:axId val="398037055"/>
        <c:scaling>
          <c:orientation val="minMax"/>
        </c:scaling>
        <c:delete val="0"/>
        <c:axPos val="l"/>
        <c:numFmt formatCode="General" sourceLinked="1"/>
        <c:majorTickMark val="none"/>
        <c:minorTickMark val="none"/>
        <c:tickLblPos val="nextTo"/>
        <c:spPr>
          <a:noFill/>
          <a:ln>
            <a:solidFill>
              <a:schemeClr val="bg1">
                <a:lumMod val="85000"/>
              </a:schemeClr>
            </a:solid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mn-cs"/>
              </a:defRPr>
            </a:pPr>
          </a:p>
        </c:txPr>
        <c:crossAx val="621199657"/>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bg1">
          <a:lumMod val="9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2021-04-14T05:37:00Z</dcterms:created>
  <dc:creator>楠楠</dc:creator>
  <cp:lastModifiedBy>楠楠</cp:lastModifiedBy>
  <cp:lastPrinted>2021-04-15T06:38:00Z</cp:lastPrinted>
  <dcterms:modified xsi:type="dcterms:W3CDTF">2021-04-29T02:09:05Z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2FA60AF57E7D4C3596DC51EAA8A30309</vt:lpwstr>
  </property>
</Properties>
</file>